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EFB" w:rsidRPr="003E3BAE" w:rsidRDefault="007E0EFB" w:rsidP="002D1BB3">
      <w:pPr>
        <w:rPr>
          <w:sz w:val="24"/>
          <w:szCs w:val="24"/>
        </w:rPr>
      </w:pPr>
      <w:bookmarkStart w:id="0" w:name="_GoBack"/>
      <w:bookmarkEnd w:id="0"/>
      <w:r w:rsidRPr="003E3BAE">
        <w:rPr>
          <w:sz w:val="24"/>
          <w:szCs w:val="24"/>
        </w:rPr>
        <w:t>Kevin began the session by providing some history and background on moral rights in the United States.</w:t>
      </w:r>
    </w:p>
    <w:p w:rsidR="002D1BB3" w:rsidRPr="003E3BAE" w:rsidRDefault="002D1BB3" w:rsidP="002D1BB3">
      <w:pPr>
        <w:rPr>
          <w:sz w:val="24"/>
          <w:szCs w:val="24"/>
        </w:rPr>
      </w:pPr>
      <w:r w:rsidRPr="003E3BAE">
        <w:rPr>
          <w:sz w:val="24"/>
          <w:szCs w:val="24"/>
        </w:rPr>
        <w:t xml:space="preserve">Moral rights grow out of natural law approaches to copyright which argue that creations are expressions of the author’s personality and, therefore, contain a moral bond between the two. United States copyright law is much more utilitarian. </w:t>
      </w:r>
      <w:r w:rsidR="002A603C" w:rsidRPr="003E3BAE">
        <w:rPr>
          <w:sz w:val="24"/>
          <w:szCs w:val="24"/>
        </w:rPr>
        <w:t>I</w:t>
      </w:r>
      <w:r w:rsidRPr="003E3BAE">
        <w:rPr>
          <w:sz w:val="24"/>
          <w:szCs w:val="24"/>
        </w:rPr>
        <w:t>t could be argued that the moral rights protection requirements of the Berne Convention (</w:t>
      </w:r>
      <w:hyperlink r:id="rId7" w:anchor="P123_20726" w:history="1">
        <w:r w:rsidRPr="003E3BAE">
          <w:rPr>
            <w:rStyle w:val="Hyperlink"/>
            <w:sz w:val="24"/>
            <w:szCs w:val="24"/>
          </w:rPr>
          <w:t xml:space="preserve">Article </w:t>
        </w:r>
        <w:r w:rsidR="004C0231" w:rsidRPr="003E3BAE">
          <w:rPr>
            <w:rStyle w:val="Hyperlink"/>
            <w:sz w:val="24"/>
            <w:szCs w:val="24"/>
          </w:rPr>
          <w:t>6</w:t>
        </w:r>
        <w:r w:rsidRPr="003E3BAE">
          <w:rPr>
            <w:rStyle w:val="Hyperlink"/>
            <w:i/>
            <w:sz w:val="24"/>
            <w:szCs w:val="24"/>
          </w:rPr>
          <w:t>bis</w:t>
        </w:r>
      </w:hyperlink>
      <w:r w:rsidRPr="003E3BAE">
        <w:rPr>
          <w:sz w:val="24"/>
          <w:szCs w:val="24"/>
        </w:rPr>
        <w:t xml:space="preserve">) were a major obstacle to the US adoption of </w:t>
      </w:r>
      <w:r w:rsidR="002A603C" w:rsidRPr="003E3BAE">
        <w:rPr>
          <w:sz w:val="24"/>
          <w:szCs w:val="24"/>
        </w:rPr>
        <w:t>Berne for over 60 years. In fact, when the US did join Berne, it was specifically stipulated that other current provisions of US law (such as defamation) were sufficient to meet the Berne requirements and no changes to US copyright law would be required for compliance.</w:t>
      </w:r>
    </w:p>
    <w:p w:rsidR="004C0231" w:rsidRPr="003E3BAE" w:rsidRDefault="004C0231" w:rsidP="004C0231">
      <w:pPr>
        <w:rPr>
          <w:sz w:val="24"/>
          <w:szCs w:val="24"/>
        </w:rPr>
      </w:pPr>
      <w:r w:rsidRPr="003E3BAE">
        <w:rPr>
          <w:sz w:val="24"/>
          <w:szCs w:val="24"/>
        </w:rPr>
        <w:t>Moral rights encompass rights outside of economic rights</w:t>
      </w:r>
      <w:r w:rsidR="00285B19" w:rsidRPr="003E3BAE">
        <w:rPr>
          <w:sz w:val="24"/>
          <w:szCs w:val="24"/>
        </w:rPr>
        <w:t xml:space="preserve">, </w:t>
      </w:r>
      <w:r w:rsidR="002738FB" w:rsidRPr="003E3BAE">
        <w:rPr>
          <w:sz w:val="24"/>
          <w:szCs w:val="24"/>
        </w:rPr>
        <w:t>typically</w:t>
      </w:r>
      <w:r w:rsidR="00285B19" w:rsidRPr="003E3BAE">
        <w:rPr>
          <w:sz w:val="24"/>
          <w:szCs w:val="24"/>
        </w:rPr>
        <w:t xml:space="preserve"> including</w:t>
      </w:r>
      <w:r w:rsidRPr="003E3BAE">
        <w:rPr>
          <w:sz w:val="24"/>
          <w:szCs w:val="24"/>
        </w:rPr>
        <w:t>:</w:t>
      </w:r>
    </w:p>
    <w:p w:rsidR="004C0231" w:rsidRPr="003E3BAE" w:rsidRDefault="004C0231" w:rsidP="004C0231">
      <w:pPr>
        <w:pStyle w:val="ListParagraph"/>
        <w:numPr>
          <w:ilvl w:val="0"/>
          <w:numId w:val="1"/>
        </w:numPr>
        <w:rPr>
          <w:sz w:val="24"/>
          <w:szCs w:val="24"/>
        </w:rPr>
      </w:pPr>
      <w:r w:rsidRPr="003E3BAE">
        <w:rPr>
          <w:sz w:val="24"/>
          <w:szCs w:val="24"/>
        </w:rPr>
        <w:t xml:space="preserve">Attribution: </w:t>
      </w:r>
      <w:r w:rsidR="005E7A31" w:rsidRPr="003E3BAE">
        <w:rPr>
          <w:sz w:val="24"/>
          <w:szCs w:val="24"/>
        </w:rPr>
        <w:t>Creators</w:t>
      </w:r>
      <w:r w:rsidRPr="003E3BAE">
        <w:rPr>
          <w:sz w:val="24"/>
          <w:szCs w:val="24"/>
        </w:rPr>
        <w:t xml:space="preserve"> have the right to receive credit for their work, regardless of who owns the work.</w:t>
      </w:r>
    </w:p>
    <w:p w:rsidR="004C0231" w:rsidRPr="003E3BAE" w:rsidRDefault="004C0231" w:rsidP="004C0231">
      <w:pPr>
        <w:pStyle w:val="ListParagraph"/>
        <w:numPr>
          <w:ilvl w:val="0"/>
          <w:numId w:val="1"/>
        </w:numPr>
        <w:rPr>
          <w:sz w:val="24"/>
          <w:szCs w:val="24"/>
        </w:rPr>
      </w:pPr>
      <w:r w:rsidRPr="003E3BAE">
        <w:rPr>
          <w:sz w:val="24"/>
          <w:szCs w:val="24"/>
        </w:rPr>
        <w:t xml:space="preserve">Integrity: </w:t>
      </w:r>
      <w:r w:rsidR="005E7A31" w:rsidRPr="003E3BAE">
        <w:rPr>
          <w:sz w:val="24"/>
          <w:szCs w:val="24"/>
        </w:rPr>
        <w:t>Creators</w:t>
      </w:r>
      <w:r w:rsidRPr="003E3BAE">
        <w:rPr>
          <w:sz w:val="24"/>
          <w:szCs w:val="24"/>
        </w:rPr>
        <w:t xml:space="preserve"> have the right to prevent alterations to their work in ways that would </w:t>
      </w:r>
      <w:r w:rsidR="002738FB" w:rsidRPr="003E3BAE">
        <w:rPr>
          <w:sz w:val="24"/>
          <w:szCs w:val="24"/>
        </w:rPr>
        <w:t xml:space="preserve">be </w:t>
      </w:r>
      <w:r w:rsidRPr="003E3BAE">
        <w:rPr>
          <w:sz w:val="24"/>
          <w:szCs w:val="24"/>
        </w:rPr>
        <w:t xml:space="preserve">detrimental to the </w:t>
      </w:r>
      <w:r w:rsidR="005E7A31" w:rsidRPr="003E3BAE">
        <w:rPr>
          <w:sz w:val="24"/>
          <w:szCs w:val="24"/>
        </w:rPr>
        <w:t>creator’s</w:t>
      </w:r>
      <w:r w:rsidRPr="003E3BAE">
        <w:rPr>
          <w:sz w:val="24"/>
          <w:szCs w:val="24"/>
        </w:rPr>
        <w:t xml:space="preserve"> reputation or honor.</w:t>
      </w:r>
    </w:p>
    <w:p w:rsidR="004C0231" w:rsidRPr="003E3BAE" w:rsidRDefault="004C0231" w:rsidP="004C0231">
      <w:pPr>
        <w:pStyle w:val="ListParagraph"/>
        <w:numPr>
          <w:ilvl w:val="0"/>
          <w:numId w:val="1"/>
        </w:numPr>
        <w:rPr>
          <w:sz w:val="24"/>
          <w:szCs w:val="24"/>
        </w:rPr>
      </w:pPr>
      <w:r w:rsidRPr="003E3BAE">
        <w:rPr>
          <w:sz w:val="24"/>
          <w:szCs w:val="24"/>
        </w:rPr>
        <w:t xml:space="preserve">Anonymity: </w:t>
      </w:r>
      <w:r w:rsidR="005E7A31" w:rsidRPr="003E3BAE">
        <w:rPr>
          <w:sz w:val="24"/>
          <w:szCs w:val="24"/>
        </w:rPr>
        <w:t>Creators</w:t>
      </w:r>
      <w:r w:rsidRPr="003E3BAE">
        <w:rPr>
          <w:sz w:val="24"/>
          <w:szCs w:val="24"/>
        </w:rPr>
        <w:t xml:space="preserve"> have the right to </w:t>
      </w:r>
      <w:r w:rsidR="005E7A31" w:rsidRPr="003E3BAE">
        <w:rPr>
          <w:sz w:val="24"/>
          <w:szCs w:val="24"/>
        </w:rPr>
        <w:t>not be attributed or to be attributed under a different name if they chose.</w:t>
      </w:r>
    </w:p>
    <w:p w:rsidR="00222C78" w:rsidRPr="003E3BAE" w:rsidRDefault="00B63D93" w:rsidP="005E7A31">
      <w:pPr>
        <w:rPr>
          <w:sz w:val="24"/>
          <w:szCs w:val="24"/>
        </w:rPr>
      </w:pPr>
      <w:r w:rsidRPr="003E3BAE">
        <w:rPr>
          <w:sz w:val="24"/>
          <w:szCs w:val="24"/>
        </w:rPr>
        <w:t xml:space="preserve">In 1990, the US granted specific moral rights under the </w:t>
      </w:r>
      <w:hyperlink r:id="rId8" w:history="1">
        <w:r w:rsidRPr="003E3BAE">
          <w:rPr>
            <w:rStyle w:val="Hyperlink"/>
            <w:sz w:val="24"/>
            <w:szCs w:val="24"/>
          </w:rPr>
          <w:t>Visual Artists Rights Act</w:t>
        </w:r>
      </w:hyperlink>
      <w:r w:rsidRPr="003E3BAE">
        <w:rPr>
          <w:sz w:val="24"/>
          <w:szCs w:val="24"/>
        </w:rPr>
        <w:t xml:space="preserve"> (VARA). </w:t>
      </w:r>
      <w:r w:rsidR="00285B19" w:rsidRPr="003E3BAE">
        <w:rPr>
          <w:sz w:val="24"/>
          <w:szCs w:val="24"/>
        </w:rPr>
        <w:t xml:space="preserve">VARA provides the right of attribution and integrity to authors of a very narrow and defined set of visual works: namely, paintings, drawings, prints, sculptures, and still photographic images produced as single copies or signed and numbered limited editions of fewer than 200. </w:t>
      </w:r>
      <w:r w:rsidR="00AA3C6C" w:rsidRPr="003E3BAE">
        <w:rPr>
          <w:sz w:val="24"/>
          <w:szCs w:val="24"/>
        </w:rPr>
        <w:t>These rights are held by</w:t>
      </w:r>
      <w:r w:rsidR="00285B19" w:rsidRPr="003E3BAE">
        <w:rPr>
          <w:sz w:val="24"/>
          <w:szCs w:val="24"/>
        </w:rPr>
        <w:t xml:space="preserve"> the creators for their lifetime, and while they cannot be transferred, they can be waived. Further, there are exemptions for natural aging, conservation, and normal museum practices, such as lighting an</w:t>
      </w:r>
      <w:r w:rsidR="009B2F27" w:rsidRPr="003E3BAE">
        <w:rPr>
          <w:sz w:val="24"/>
          <w:szCs w:val="24"/>
        </w:rPr>
        <w:t xml:space="preserve">d placement. </w:t>
      </w:r>
      <w:r w:rsidR="00222C78" w:rsidRPr="003E3BAE">
        <w:rPr>
          <w:sz w:val="24"/>
          <w:szCs w:val="24"/>
        </w:rPr>
        <w:t xml:space="preserve">VARA has generated some litigation. Artists have won VARA cases (see </w:t>
      </w:r>
      <w:hyperlink r:id="rId9" w:history="1">
        <w:r w:rsidR="00222C78" w:rsidRPr="003E3BAE">
          <w:rPr>
            <w:rStyle w:val="Hyperlink"/>
            <w:sz w:val="24"/>
            <w:szCs w:val="24"/>
          </w:rPr>
          <w:t>Martin v. Indianapolis</w:t>
        </w:r>
      </w:hyperlink>
      <w:r w:rsidR="00222C78" w:rsidRPr="003E3BAE">
        <w:rPr>
          <w:sz w:val="24"/>
          <w:szCs w:val="24"/>
        </w:rPr>
        <w:t>), but most cases tend to be narrowing the law.</w:t>
      </w:r>
    </w:p>
    <w:p w:rsidR="00222C78" w:rsidRPr="003E3BAE" w:rsidRDefault="009365F6" w:rsidP="005E7A31">
      <w:pPr>
        <w:rPr>
          <w:sz w:val="24"/>
          <w:szCs w:val="24"/>
        </w:rPr>
      </w:pPr>
      <w:r w:rsidRPr="003E3BAE">
        <w:rPr>
          <w:sz w:val="24"/>
          <w:szCs w:val="24"/>
        </w:rPr>
        <w:t xml:space="preserve">Some of the resistance to moral rights in US copyright stems from the belief that other existing laws provide sufficient protection. Rights holders already control derivative works. Also, the ability to license works means that agreements can be written to protect attribution and integrity of the creator. Trademark law and prohibitions on “false designation of origin” can also provide protection, though the </w:t>
      </w:r>
      <w:hyperlink r:id="rId10" w:history="1">
        <w:r w:rsidRPr="003E3BAE">
          <w:rPr>
            <w:rStyle w:val="Hyperlink"/>
            <w:sz w:val="24"/>
            <w:szCs w:val="24"/>
          </w:rPr>
          <w:t>Dastar</w:t>
        </w:r>
      </w:hyperlink>
      <w:r w:rsidRPr="003E3BAE">
        <w:rPr>
          <w:sz w:val="24"/>
          <w:szCs w:val="24"/>
        </w:rPr>
        <w:t xml:space="preserve"> case provides interesting commentary on how far—or not—this particular argument would apply to copyright.</w:t>
      </w:r>
    </w:p>
    <w:p w:rsidR="009365F6" w:rsidRPr="003E3BAE" w:rsidRDefault="00906B95" w:rsidP="005E7A31">
      <w:pPr>
        <w:rPr>
          <w:sz w:val="24"/>
          <w:szCs w:val="24"/>
        </w:rPr>
      </w:pPr>
      <w:r w:rsidRPr="003E3BAE">
        <w:rPr>
          <w:sz w:val="24"/>
          <w:szCs w:val="24"/>
        </w:rPr>
        <w:t>In 1949</w:t>
      </w:r>
      <w:r w:rsidR="00AA3C6C" w:rsidRPr="003E3BAE">
        <w:rPr>
          <w:sz w:val="24"/>
          <w:szCs w:val="24"/>
        </w:rPr>
        <w:t>,</w:t>
      </w:r>
      <w:r w:rsidRPr="003E3BAE">
        <w:rPr>
          <w:sz w:val="24"/>
          <w:szCs w:val="24"/>
        </w:rPr>
        <w:t xml:space="preserve"> Fox licensed the rights to make a television series based on General Dwight D. Eisenhower's World War II memoir, </w:t>
      </w:r>
      <w:r w:rsidRPr="003E3BAE">
        <w:rPr>
          <w:i/>
          <w:sz w:val="24"/>
          <w:szCs w:val="24"/>
        </w:rPr>
        <w:t>Crusade in Europe</w:t>
      </w:r>
      <w:r w:rsidRPr="003E3BAE">
        <w:rPr>
          <w:sz w:val="24"/>
          <w:szCs w:val="24"/>
        </w:rPr>
        <w:t>. Fox allowed the copyright to lapse and the work fell into the public domain. In 1995, Dastar used this 1949 series as the basis for its own video series. Fox sued Dastar for trademark violation of “reverse passing off”</w:t>
      </w:r>
      <w:r w:rsidR="00AA3C6C" w:rsidRPr="003E3BAE">
        <w:rPr>
          <w:sz w:val="24"/>
          <w:szCs w:val="24"/>
        </w:rPr>
        <w:t xml:space="preserve"> under the Lan</w:t>
      </w:r>
      <w:r w:rsidRPr="003E3BAE">
        <w:rPr>
          <w:sz w:val="24"/>
          <w:szCs w:val="24"/>
        </w:rPr>
        <w:t>ham Act because Dastar had not attributed the original material to Fox. The Su</w:t>
      </w:r>
      <w:r w:rsidR="00327881" w:rsidRPr="003E3BAE">
        <w:rPr>
          <w:sz w:val="24"/>
          <w:szCs w:val="24"/>
        </w:rPr>
        <w:t xml:space="preserve">preme Court </w:t>
      </w:r>
      <w:r w:rsidR="00327881" w:rsidRPr="003E3BAE">
        <w:rPr>
          <w:sz w:val="24"/>
          <w:szCs w:val="24"/>
        </w:rPr>
        <w:lastRenderedPageBreak/>
        <w:t>ruled for Dastar, fi</w:t>
      </w:r>
      <w:r w:rsidRPr="003E3BAE">
        <w:rPr>
          <w:sz w:val="24"/>
          <w:szCs w:val="24"/>
        </w:rPr>
        <w:t xml:space="preserve">nding that there is no requirement for attribution to works in the public domain. This raises an interesting question of whether the court was unwilling to limit the public domain in shadow via trademark or </w:t>
      </w:r>
      <w:r w:rsidR="00A00EF7" w:rsidRPr="003E3BAE">
        <w:rPr>
          <w:sz w:val="24"/>
          <w:szCs w:val="24"/>
        </w:rPr>
        <w:t>if</w:t>
      </w:r>
      <w:r w:rsidRPr="003E3BAE">
        <w:rPr>
          <w:sz w:val="24"/>
          <w:szCs w:val="24"/>
        </w:rPr>
        <w:t xml:space="preserve"> trademark </w:t>
      </w:r>
      <w:r w:rsidR="00A00EF7" w:rsidRPr="003E3BAE">
        <w:rPr>
          <w:sz w:val="24"/>
          <w:szCs w:val="24"/>
        </w:rPr>
        <w:t xml:space="preserve">does </w:t>
      </w:r>
      <w:r w:rsidRPr="003E3BAE">
        <w:rPr>
          <w:sz w:val="24"/>
          <w:szCs w:val="24"/>
        </w:rPr>
        <w:t xml:space="preserve">not protect attribution, thus undercutting some of the moral rights coverage stipulated in the US </w:t>
      </w:r>
      <w:r w:rsidR="00F36B73" w:rsidRPr="003E3BAE">
        <w:rPr>
          <w:sz w:val="24"/>
          <w:szCs w:val="24"/>
        </w:rPr>
        <w:t xml:space="preserve">enjoinment with the Berne Convention? In the SCOTUS opinion written by Judge Antonin Scalia, he specifically argues that allowing a cause of action for lack of attribution to a work in </w:t>
      </w:r>
      <w:r w:rsidR="00AA3C6C" w:rsidRPr="003E3BAE">
        <w:rPr>
          <w:sz w:val="24"/>
          <w:szCs w:val="24"/>
        </w:rPr>
        <w:t>the public domain under the Lan</w:t>
      </w:r>
      <w:r w:rsidR="00F36B73" w:rsidRPr="003E3BAE">
        <w:rPr>
          <w:sz w:val="24"/>
          <w:szCs w:val="24"/>
        </w:rPr>
        <w:t xml:space="preserve">ham Act would “create a species of mutant copyright law.” </w:t>
      </w:r>
    </w:p>
    <w:p w:rsidR="00F36B73" w:rsidRPr="003E3BAE" w:rsidRDefault="00F36B73" w:rsidP="005E7A31">
      <w:pPr>
        <w:rPr>
          <w:sz w:val="24"/>
          <w:szCs w:val="24"/>
        </w:rPr>
      </w:pPr>
      <w:r w:rsidRPr="003E3BAE">
        <w:rPr>
          <w:sz w:val="24"/>
          <w:szCs w:val="24"/>
        </w:rPr>
        <w:t>The Copyright Office has issued a Notice of Inquiry (</w:t>
      </w:r>
      <w:hyperlink r:id="rId11" w:history="1">
        <w:r w:rsidRPr="003E3BAE">
          <w:rPr>
            <w:rStyle w:val="Hyperlink"/>
            <w:sz w:val="24"/>
            <w:szCs w:val="24"/>
          </w:rPr>
          <w:t>82 FR 12372</w:t>
        </w:r>
      </w:hyperlink>
      <w:r w:rsidRPr="003E3BAE">
        <w:rPr>
          <w:sz w:val="24"/>
          <w:szCs w:val="24"/>
        </w:rPr>
        <w:t xml:space="preserve">) indicating that it wants to reconsider moral rights under US copyright law. It is interesting to see who might be pushing this project, as the MPAA and AAP both oppose it. There is speculation that it might be the Author’s Guild. Regardless, </w:t>
      </w:r>
      <w:hyperlink r:id="rId12" w:history="1">
        <w:r w:rsidRPr="003E3BAE">
          <w:rPr>
            <w:rStyle w:val="Hyperlink"/>
            <w:sz w:val="24"/>
            <w:szCs w:val="24"/>
          </w:rPr>
          <w:t>the study</w:t>
        </w:r>
      </w:hyperlink>
      <w:r w:rsidRPr="003E3BAE">
        <w:rPr>
          <w:sz w:val="24"/>
          <w:szCs w:val="24"/>
        </w:rPr>
        <w:t xml:space="preserve"> asks very good questions about First Amendment implications, exceptions and limitations</w:t>
      </w:r>
      <w:r w:rsidR="00E326EE" w:rsidRPr="003E3BAE">
        <w:rPr>
          <w:sz w:val="24"/>
          <w:szCs w:val="24"/>
        </w:rPr>
        <w:t xml:space="preserve">, and interaction with other provisions such as </w:t>
      </w:r>
      <w:r w:rsidR="00E326EE" w:rsidRPr="003E3BAE">
        <w:rPr>
          <w:rFonts w:cstheme="minorHAnsi"/>
          <w:sz w:val="24"/>
          <w:szCs w:val="24"/>
        </w:rPr>
        <w:t>§</w:t>
      </w:r>
      <w:r w:rsidR="00E326EE" w:rsidRPr="003E3BAE">
        <w:rPr>
          <w:sz w:val="24"/>
          <w:szCs w:val="24"/>
        </w:rPr>
        <w:t>1202.</w:t>
      </w:r>
    </w:p>
    <w:p w:rsidR="00E326EE" w:rsidRPr="003E3BAE" w:rsidRDefault="007E0EFB" w:rsidP="005E7A31">
      <w:pPr>
        <w:rPr>
          <w:sz w:val="24"/>
          <w:szCs w:val="24"/>
        </w:rPr>
      </w:pPr>
      <w:r w:rsidRPr="003E3BAE">
        <w:rPr>
          <w:sz w:val="24"/>
          <w:szCs w:val="24"/>
        </w:rPr>
        <w:t>Having provided a solid background to the group, the sess</w:t>
      </w:r>
      <w:r w:rsidR="002E2AFF" w:rsidRPr="003E3BAE">
        <w:rPr>
          <w:sz w:val="24"/>
          <w:szCs w:val="24"/>
        </w:rPr>
        <w:t>ion opened to a more discussion-</w:t>
      </w:r>
      <w:r w:rsidRPr="003E3BAE">
        <w:rPr>
          <w:sz w:val="24"/>
          <w:szCs w:val="24"/>
        </w:rPr>
        <w:t>based format. This started with some clarification on defamation laws, which are stricter in the US than other countries. In the US, defamation can be defended best on two grounds: truth or opinion. Moral rights, however, do not require truth, just reputational harm.</w:t>
      </w:r>
    </w:p>
    <w:p w:rsidR="00256B39" w:rsidRPr="003E3BAE" w:rsidRDefault="00583F16" w:rsidP="005E7A31">
      <w:pPr>
        <w:rPr>
          <w:sz w:val="24"/>
          <w:szCs w:val="24"/>
        </w:rPr>
      </w:pPr>
      <w:r w:rsidRPr="003E3BAE">
        <w:rPr>
          <w:sz w:val="24"/>
          <w:szCs w:val="24"/>
        </w:rPr>
        <w:t xml:space="preserve">Parody was raised </w:t>
      </w:r>
      <w:r w:rsidR="007E0EFB" w:rsidRPr="003E3BAE">
        <w:rPr>
          <w:sz w:val="24"/>
          <w:szCs w:val="24"/>
        </w:rPr>
        <w:t xml:space="preserve">as a potential issue: What if the original author did not want to be associated with </w:t>
      </w:r>
      <w:r w:rsidRPr="003E3BAE">
        <w:rPr>
          <w:sz w:val="24"/>
          <w:szCs w:val="24"/>
        </w:rPr>
        <w:t xml:space="preserve">the </w:t>
      </w:r>
      <w:r w:rsidR="007E0EFB" w:rsidRPr="003E3BAE">
        <w:rPr>
          <w:sz w:val="24"/>
          <w:szCs w:val="24"/>
        </w:rPr>
        <w:t>parody? Would moral rights enable them to prevent another’s work, a potential first amendment</w:t>
      </w:r>
      <w:r w:rsidR="00256B39" w:rsidRPr="003E3BAE">
        <w:rPr>
          <w:sz w:val="24"/>
          <w:szCs w:val="24"/>
        </w:rPr>
        <w:t xml:space="preserve"> violation?</w:t>
      </w:r>
    </w:p>
    <w:p w:rsidR="007E0EFB" w:rsidRPr="003E3BAE" w:rsidRDefault="00256B39" w:rsidP="005E7A31">
      <w:pPr>
        <w:rPr>
          <w:sz w:val="24"/>
          <w:szCs w:val="24"/>
        </w:rPr>
      </w:pPr>
      <w:r w:rsidRPr="003E3BAE">
        <w:rPr>
          <w:sz w:val="24"/>
          <w:szCs w:val="24"/>
        </w:rPr>
        <w:t xml:space="preserve">The conversation then turned to the importance of context. </w:t>
      </w:r>
      <w:r w:rsidR="007E0EFB" w:rsidRPr="003E3BAE">
        <w:rPr>
          <w:sz w:val="24"/>
          <w:szCs w:val="24"/>
        </w:rPr>
        <w:t xml:space="preserve"> </w:t>
      </w:r>
      <w:r w:rsidRPr="003E3BAE">
        <w:rPr>
          <w:sz w:val="24"/>
          <w:szCs w:val="24"/>
        </w:rPr>
        <w:t xml:space="preserve">Not providing attribution may not be against the law, but for academics, plagiarism charges can weigh much more heavily than copyright infringement. The academic community is fierce in its attribution expectations, but others are much less so. </w:t>
      </w:r>
      <w:r w:rsidR="009D0312" w:rsidRPr="003E3BAE">
        <w:rPr>
          <w:sz w:val="24"/>
          <w:szCs w:val="24"/>
        </w:rPr>
        <w:t xml:space="preserve">(Kevin recommended Richard Posner’s </w:t>
      </w:r>
      <w:hyperlink r:id="rId13" w:history="1">
        <w:r w:rsidR="009D0312" w:rsidRPr="003E3BAE">
          <w:rPr>
            <w:rStyle w:val="Hyperlink"/>
            <w:i/>
            <w:sz w:val="24"/>
            <w:szCs w:val="24"/>
          </w:rPr>
          <w:t>The Little Book of Plagiarism</w:t>
        </w:r>
      </w:hyperlink>
      <w:r w:rsidR="009D0312" w:rsidRPr="003E3BAE">
        <w:rPr>
          <w:sz w:val="24"/>
          <w:szCs w:val="24"/>
        </w:rPr>
        <w:t xml:space="preserve">.) </w:t>
      </w:r>
      <w:r w:rsidRPr="003E3BAE">
        <w:rPr>
          <w:sz w:val="24"/>
          <w:szCs w:val="24"/>
        </w:rPr>
        <w:t>Community and audience expectation currently drive the necessity of attribution</w:t>
      </w:r>
      <w:r w:rsidR="009D0312" w:rsidRPr="003E3BAE">
        <w:rPr>
          <w:sz w:val="24"/>
          <w:szCs w:val="24"/>
        </w:rPr>
        <w:t>, so do we need a blanket rule to cover every context?</w:t>
      </w:r>
      <w:r w:rsidRPr="003E3BAE">
        <w:rPr>
          <w:sz w:val="24"/>
          <w:szCs w:val="24"/>
        </w:rPr>
        <w:t xml:space="preserve"> </w:t>
      </w:r>
    </w:p>
    <w:p w:rsidR="009D0312" w:rsidRPr="003E3BAE" w:rsidRDefault="00B8595E" w:rsidP="005E7A31">
      <w:pPr>
        <w:rPr>
          <w:sz w:val="24"/>
          <w:szCs w:val="24"/>
        </w:rPr>
      </w:pPr>
      <w:r w:rsidRPr="003E3BAE">
        <w:rPr>
          <w:sz w:val="24"/>
          <w:szCs w:val="24"/>
        </w:rPr>
        <w:t xml:space="preserve">The issue of cultural differences in plagiarism and attribution expectations was brought up. </w:t>
      </w:r>
      <w:r w:rsidR="002D73A1" w:rsidRPr="003E3BAE">
        <w:rPr>
          <w:sz w:val="24"/>
          <w:szCs w:val="24"/>
        </w:rPr>
        <w:t>Kevin noted that this is often couched as “them” not understanding how we do intellectual property, but these are often linguistic or mechanical issues of knowing how to cite, how to paraphrase, etc. These problems are more likely to require educational solutions than legal ones.</w:t>
      </w:r>
    </w:p>
    <w:p w:rsidR="002D73A1" w:rsidRPr="003E3BAE" w:rsidRDefault="002D73A1" w:rsidP="005E7A31">
      <w:pPr>
        <w:rPr>
          <w:sz w:val="24"/>
          <w:szCs w:val="24"/>
        </w:rPr>
      </w:pPr>
      <w:r w:rsidRPr="003E3BAE">
        <w:rPr>
          <w:sz w:val="24"/>
          <w:szCs w:val="24"/>
        </w:rPr>
        <w:t>The issue of attribution in art</w:t>
      </w:r>
      <w:r w:rsidR="007B6402" w:rsidRPr="003E3BAE">
        <w:rPr>
          <w:sz w:val="24"/>
          <w:szCs w:val="24"/>
        </w:rPr>
        <w:t>, particularly appropriation art,</w:t>
      </w:r>
      <w:r w:rsidRPr="003E3BAE">
        <w:rPr>
          <w:sz w:val="24"/>
          <w:szCs w:val="24"/>
        </w:rPr>
        <w:t xml:space="preserve"> was also raised. </w:t>
      </w:r>
      <w:r w:rsidR="007B6402" w:rsidRPr="003E3BAE">
        <w:rPr>
          <w:sz w:val="24"/>
          <w:szCs w:val="24"/>
        </w:rPr>
        <w:t>While a moral right requiring attribution might aid in lesser known and/or historically underrepresented artists find</w:t>
      </w:r>
      <w:r w:rsidR="00AA568D" w:rsidRPr="003E3BAE">
        <w:rPr>
          <w:sz w:val="24"/>
          <w:szCs w:val="24"/>
        </w:rPr>
        <w:t>ing</w:t>
      </w:r>
      <w:r w:rsidR="007B6402" w:rsidRPr="003E3BAE">
        <w:rPr>
          <w:sz w:val="24"/>
          <w:szCs w:val="24"/>
        </w:rPr>
        <w:t xml:space="preserve"> recognition for their work, it could </w:t>
      </w:r>
      <w:r w:rsidR="009646EC" w:rsidRPr="003E3BAE">
        <w:rPr>
          <w:sz w:val="24"/>
          <w:szCs w:val="24"/>
        </w:rPr>
        <w:t xml:space="preserve">also </w:t>
      </w:r>
      <w:r w:rsidR="007B6402" w:rsidRPr="003E3BAE">
        <w:rPr>
          <w:sz w:val="24"/>
          <w:szCs w:val="24"/>
        </w:rPr>
        <w:t xml:space="preserve">lead to technical difficulties in how this attribution would be acknowledged and how different works could be </w:t>
      </w:r>
      <w:r w:rsidR="00EC06BC" w:rsidRPr="003E3BAE">
        <w:rPr>
          <w:sz w:val="24"/>
          <w:szCs w:val="24"/>
        </w:rPr>
        <w:t>separately acknowledged</w:t>
      </w:r>
      <w:r w:rsidR="007B6402" w:rsidRPr="003E3BAE">
        <w:rPr>
          <w:sz w:val="24"/>
          <w:szCs w:val="24"/>
        </w:rPr>
        <w:t xml:space="preserve"> </w:t>
      </w:r>
      <w:r w:rsidR="007B6402" w:rsidRPr="003E3BAE">
        <w:rPr>
          <w:sz w:val="24"/>
          <w:szCs w:val="24"/>
        </w:rPr>
        <w:lastRenderedPageBreak/>
        <w:t xml:space="preserve">from the new whole. </w:t>
      </w:r>
      <w:r w:rsidR="00F44A86" w:rsidRPr="003E3BAE">
        <w:rPr>
          <w:sz w:val="24"/>
          <w:szCs w:val="24"/>
        </w:rPr>
        <w:t>Similarly</w:t>
      </w:r>
      <w:r w:rsidR="007B6402" w:rsidRPr="003E3BAE">
        <w:rPr>
          <w:sz w:val="24"/>
          <w:szCs w:val="24"/>
        </w:rPr>
        <w:t xml:space="preserve"> to parody, </w:t>
      </w:r>
      <w:r w:rsidR="004020BE" w:rsidRPr="003E3BAE">
        <w:rPr>
          <w:sz w:val="24"/>
          <w:szCs w:val="24"/>
        </w:rPr>
        <w:t xml:space="preserve">questions of original creator anonymity or </w:t>
      </w:r>
      <w:r w:rsidR="00F44A86" w:rsidRPr="003E3BAE">
        <w:rPr>
          <w:sz w:val="24"/>
          <w:szCs w:val="24"/>
        </w:rPr>
        <w:t xml:space="preserve">control </w:t>
      </w:r>
      <w:r w:rsidR="004020BE" w:rsidRPr="003E3BAE">
        <w:rPr>
          <w:sz w:val="24"/>
          <w:szCs w:val="24"/>
        </w:rPr>
        <w:t>with the new work remained.</w:t>
      </w:r>
    </w:p>
    <w:p w:rsidR="004020BE" w:rsidRPr="003E3BAE" w:rsidRDefault="004020BE" w:rsidP="005E7A31">
      <w:pPr>
        <w:rPr>
          <w:sz w:val="24"/>
          <w:szCs w:val="24"/>
        </w:rPr>
      </w:pPr>
      <w:r w:rsidRPr="003E3BAE">
        <w:rPr>
          <w:sz w:val="24"/>
          <w:szCs w:val="24"/>
        </w:rPr>
        <w:t xml:space="preserve">The session ended with a robust discussion of </w:t>
      </w:r>
      <w:r w:rsidRPr="003E3BAE">
        <w:rPr>
          <w:i/>
          <w:sz w:val="24"/>
          <w:szCs w:val="24"/>
        </w:rPr>
        <w:t>Fearless Girl</w:t>
      </w:r>
      <w:r w:rsidRPr="003E3BAE">
        <w:rPr>
          <w:sz w:val="24"/>
          <w:szCs w:val="24"/>
        </w:rPr>
        <w:t xml:space="preserve"> and its implication</w:t>
      </w:r>
      <w:r w:rsidR="00844A8C" w:rsidRPr="003E3BAE">
        <w:rPr>
          <w:sz w:val="24"/>
          <w:szCs w:val="24"/>
        </w:rPr>
        <w:t>s</w:t>
      </w:r>
      <w:r w:rsidRPr="003E3BAE">
        <w:rPr>
          <w:sz w:val="24"/>
          <w:szCs w:val="24"/>
        </w:rPr>
        <w:t xml:space="preserve"> for moral rights and control. There are indications that </w:t>
      </w:r>
      <w:r w:rsidRPr="003E3BAE">
        <w:rPr>
          <w:i/>
          <w:sz w:val="24"/>
          <w:szCs w:val="24"/>
        </w:rPr>
        <w:t>Fearless Girl</w:t>
      </w:r>
      <w:r w:rsidRPr="003E3BAE">
        <w:rPr>
          <w:sz w:val="24"/>
          <w:szCs w:val="24"/>
        </w:rPr>
        <w:t xml:space="preserve"> was deliberately made to interact with </w:t>
      </w:r>
      <w:r w:rsidRPr="003E3BAE">
        <w:rPr>
          <w:i/>
          <w:sz w:val="24"/>
          <w:szCs w:val="24"/>
        </w:rPr>
        <w:t>Charging Bull</w:t>
      </w:r>
      <w:r w:rsidRPr="003E3BAE">
        <w:rPr>
          <w:sz w:val="24"/>
          <w:szCs w:val="24"/>
        </w:rPr>
        <w:t xml:space="preserve">, such </w:t>
      </w:r>
      <w:r w:rsidR="00844A8C" w:rsidRPr="003E3BAE">
        <w:rPr>
          <w:sz w:val="24"/>
          <w:szCs w:val="24"/>
        </w:rPr>
        <w:t>as its creation from</w:t>
      </w:r>
      <w:r w:rsidRPr="003E3BAE">
        <w:rPr>
          <w:sz w:val="24"/>
          <w:szCs w:val="24"/>
        </w:rPr>
        <w:t xml:space="preserve"> the same materials and the extension of the brick sidewalk under </w:t>
      </w:r>
      <w:r w:rsidRPr="003E3BAE">
        <w:rPr>
          <w:i/>
          <w:sz w:val="24"/>
          <w:szCs w:val="24"/>
        </w:rPr>
        <w:t>Charging Bull</w:t>
      </w:r>
      <w:r w:rsidRPr="003E3BAE">
        <w:rPr>
          <w:sz w:val="24"/>
          <w:szCs w:val="24"/>
        </w:rPr>
        <w:t xml:space="preserve"> to include </w:t>
      </w:r>
      <w:r w:rsidRPr="003E3BAE">
        <w:rPr>
          <w:i/>
          <w:sz w:val="24"/>
          <w:szCs w:val="24"/>
        </w:rPr>
        <w:t>Fearless Girl</w:t>
      </w:r>
      <w:r w:rsidRPr="003E3BAE">
        <w:rPr>
          <w:sz w:val="24"/>
          <w:szCs w:val="24"/>
        </w:rPr>
        <w:t xml:space="preserve">. </w:t>
      </w:r>
      <w:r w:rsidR="009307FB" w:rsidRPr="003E3BAE">
        <w:rPr>
          <w:sz w:val="24"/>
          <w:szCs w:val="24"/>
        </w:rPr>
        <w:t xml:space="preserve">Does this mean that </w:t>
      </w:r>
      <w:r w:rsidR="009307FB" w:rsidRPr="003E3BAE">
        <w:rPr>
          <w:i/>
          <w:sz w:val="24"/>
          <w:szCs w:val="24"/>
        </w:rPr>
        <w:t xml:space="preserve">Fearless Girl </w:t>
      </w:r>
      <w:r w:rsidR="009307FB" w:rsidRPr="003E3BAE">
        <w:rPr>
          <w:sz w:val="24"/>
          <w:szCs w:val="24"/>
        </w:rPr>
        <w:t xml:space="preserve">only “works” with </w:t>
      </w:r>
      <w:r w:rsidR="009307FB" w:rsidRPr="003E3BAE">
        <w:rPr>
          <w:i/>
          <w:sz w:val="24"/>
          <w:szCs w:val="24"/>
        </w:rPr>
        <w:t>Charging Bull</w:t>
      </w:r>
      <w:r w:rsidR="009307FB" w:rsidRPr="003E3BAE">
        <w:rPr>
          <w:sz w:val="24"/>
          <w:szCs w:val="24"/>
        </w:rPr>
        <w:t xml:space="preserve">? Does the location of </w:t>
      </w:r>
      <w:r w:rsidR="009307FB" w:rsidRPr="003E3BAE">
        <w:rPr>
          <w:i/>
          <w:sz w:val="24"/>
          <w:szCs w:val="24"/>
        </w:rPr>
        <w:t>Fearless Girl</w:t>
      </w:r>
      <w:r w:rsidR="009307FB" w:rsidRPr="003E3BAE">
        <w:rPr>
          <w:sz w:val="24"/>
          <w:szCs w:val="24"/>
        </w:rPr>
        <w:t xml:space="preserve"> change the meaning of </w:t>
      </w:r>
      <w:r w:rsidR="009307FB" w:rsidRPr="003E3BAE">
        <w:rPr>
          <w:i/>
          <w:sz w:val="24"/>
          <w:szCs w:val="24"/>
        </w:rPr>
        <w:t>Charging Bull</w:t>
      </w:r>
      <w:r w:rsidR="009307FB" w:rsidRPr="003E3BAE">
        <w:rPr>
          <w:sz w:val="24"/>
          <w:szCs w:val="24"/>
        </w:rPr>
        <w:t xml:space="preserve">? These question could support an argument that </w:t>
      </w:r>
      <w:r w:rsidR="009307FB" w:rsidRPr="003E3BAE">
        <w:rPr>
          <w:i/>
          <w:sz w:val="24"/>
          <w:szCs w:val="24"/>
        </w:rPr>
        <w:t>Fearless Girl</w:t>
      </w:r>
      <w:r w:rsidR="009307FB" w:rsidRPr="003E3BAE">
        <w:rPr>
          <w:sz w:val="24"/>
          <w:szCs w:val="24"/>
        </w:rPr>
        <w:t xml:space="preserve"> is a derivative work of </w:t>
      </w:r>
      <w:r w:rsidR="009307FB" w:rsidRPr="003E3BAE">
        <w:rPr>
          <w:i/>
          <w:sz w:val="24"/>
          <w:szCs w:val="24"/>
        </w:rPr>
        <w:t>Charging Bull</w:t>
      </w:r>
      <w:r w:rsidR="009307FB" w:rsidRPr="003E3BAE">
        <w:rPr>
          <w:sz w:val="24"/>
          <w:szCs w:val="24"/>
        </w:rPr>
        <w:t xml:space="preserve"> and might fall under copyrights rather than just moral rights. This also brings up </w:t>
      </w:r>
      <w:r w:rsidR="007A1506" w:rsidRPr="003E3BAE">
        <w:rPr>
          <w:sz w:val="24"/>
          <w:szCs w:val="24"/>
        </w:rPr>
        <w:t xml:space="preserve">potential issues with moral rights and </w:t>
      </w:r>
      <w:r w:rsidR="009307FB" w:rsidRPr="003E3BAE">
        <w:rPr>
          <w:sz w:val="24"/>
          <w:szCs w:val="24"/>
        </w:rPr>
        <w:t xml:space="preserve">traditional display practices in museums, which often purposefully group works on themes, seeking to join them in conversation with each other. Is </w:t>
      </w:r>
      <w:r w:rsidR="009307FB" w:rsidRPr="003E3BAE">
        <w:rPr>
          <w:i/>
          <w:sz w:val="24"/>
          <w:szCs w:val="24"/>
        </w:rPr>
        <w:t>Fearless Girl</w:t>
      </w:r>
      <w:r w:rsidR="009307FB" w:rsidRPr="003E3BAE">
        <w:rPr>
          <w:sz w:val="24"/>
          <w:szCs w:val="24"/>
        </w:rPr>
        <w:t xml:space="preserve"> simply an extension of this practice or something different? </w:t>
      </w:r>
      <w:r w:rsidR="00123E27" w:rsidRPr="003E3BAE">
        <w:rPr>
          <w:sz w:val="24"/>
          <w:szCs w:val="24"/>
        </w:rPr>
        <w:t xml:space="preserve">Questions about how first sale and public display would act in concert with VARA are </w:t>
      </w:r>
      <w:r w:rsidR="009F1097" w:rsidRPr="003E3BAE">
        <w:rPr>
          <w:sz w:val="24"/>
          <w:szCs w:val="24"/>
        </w:rPr>
        <w:t>unclear</w:t>
      </w:r>
      <w:r w:rsidR="00123E27" w:rsidRPr="003E3BAE">
        <w:rPr>
          <w:sz w:val="24"/>
          <w:szCs w:val="24"/>
        </w:rPr>
        <w:t xml:space="preserve"> at this point.</w:t>
      </w:r>
    </w:p>
    <w:p w:rsidR="00123E27" w:rsidRPr="003E3BAE" w:rsidRDefault="00123E27" w:rsidP="005E7A31">
      <w:pPr>
        <w:rPr>
          <w:sz w:val="24"/>
          <w:szCs w:val="24"/>
        </w:rPr>
      </w:pPr>
      <w:r w:rsidRPr="003E3BAE">
        <w:rPr>
          <w:sz w:val="24"/>
          <w:szCs w:val="24"/>
        </w:rPr>
        <w:t xml:space="preserve">The </w:t>
      </w:r>
      <w:r w:rsidRPr="003E3BAE">
        <w:rPr>
          <w:i/>
          <w:sz w:val="24"/>
          <w:szCs w:val="24"/>
        </w:rPr>
        <w:t xml:space="preserve">Fearless Girl/Charging Bull </w:t>
      </w:r>
      <w:r w:rsidRPr="003E3BAE">
        <w:rPr>
          <w:sz w:val="24"/>
          <w:szCs w:val="24"/>
        </w:rPr>
        <w:t>controversy provides a real-world example of the tensions and questions which US Copyright Law has historically avoided. Who gets to decide what a work of art means? How much power do we give to authors to control how their work is interpreted? The discussion of moral rights in the US highlights the various philosophical approaches to copyright and the difficult questions of control, purpose, and power therein.</w:t>
      </w:r>
    </w:p>
    <w:sectPr w:rsidR="00123E27" w:rsidRPr="003E3B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A6F" w:rsidRDefault="00881A6F" w:rsidP="0095381E">
      <w:pPr>
        <w:spacing w:after="0" w:line="240" w:lineRule="auto"/>
      </w:pPr>
      <w:r>
        <w:separator/>
      </w:r>
    </w:p>
  </w:endnote>
  <w:endnote w:type="continuationSeparator" w:id="0">
    <w:p w:rsidR="00881A6F" w:rsidRDefault="00881A6F" w:rsidP="0095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81E" w:rsidRDefault="0095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29191"/>
      <w:docPartObj>
        <w:docPartGallery w:val="Page Numbers (Bottom of Page)"/>
        <w:docPartUnique/>
      </w:docPartObj>
    </w:sdtPr>
    <w:sdtEndPr>
      <w:rPr>
        <w:noProof/>
      </w:rPr>
    </w:sdtEndPr>
    <w:sdtContent>
      <w:p w:rsidR="0095381E" w:rsidRDefault="0095381E">
        <w:pPr>
          <w:pStyle w:val="Footer"/>
          <w:jc w:val="center"/>
        </w:pPr>
        <w:r>
          <w:fldChar w:fldCharType="begin"/>
        </w:r>
        <w:r>
          <w:instrText xml:space="preserve"> PAGE   \* MERGEFORMAT </w:instrText>
        </w:r>
        <w:r>
          <w:fldChar w:fldCharType="separate"/>
        </w:r>
        <w:r w:rsidR="0052441C">
          <w:rPr>
            <w:noProof/>
          </w:rPr>
          <w:t>1</w:t>
        </w:r>
        <w:r>
          <w:rPr>
            <w:noProof/>
          </w:rPr>
          <w:fldChar w:fldCharType="end"/>
        </w:r>
      </w:p>
    </w:sdtContent>
  </w:sdt>
  <w:p w:rsidR="0095381E" w:rsidRDefault="00953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81E" w:rsidRDefault="0095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A6F" w:rsidRDefault="00881A6F" w:rsidP="0095381E">
      <w:pPr>
        <w:spacing w:after="0" w:line="240" w:lineRule="auto"/>
      </w:pPr>
      <w:r>
        <w:separator/>
      </w:r>
    </w:p>
  </w:footnote>
  <w:footnote w:type="continuationSeparator" w:id="0">
    <w:p w:rsidR="00881A6F" w:rsidRDefault="00881A6F" w:rsidP="0095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81E" w:rsidRDefault="00953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81E" w:rsidRDefault="008610D0" w:rsidP="0095381E">
    <w:pPr>
      <w:pStyle w:val="Heading1"/>
      <w:rPr>
        <w:shd w:val="clear" w:color="auto" w:fill="F9F9F9"/>
      </w:rPr>
    </w:pPr>
    <w:r>
      <w:rPr>
        <w:shd w:val="clear" w:color="auto" w:fill="F9F9F9"/>
      </w:rPr>
      <w:t>Breakout Session: Getting Moral Rights Right by Kevin Smith</w:t>
    </w:r>
  </w:p>
  <w:p w:rsidR="0095381E" w:rsidRDefault="0095381E" w:rsidP="0095381E">
    <w:pPr>
      <w:spacing w:after="0"/>
    </w:pPr>
    <w:r>
      <w:t>Kraemer Copyright Conference 2017 Proceedings</w:t>
    </w:r>
  </w:p>
  <w:p w:rsidR="0095381E" w:rsidRDefault="0095381E" w:rsidP="0095381E">
    <w:pPr>
      <w:spacing w:after="0"/>
    </w:pPr>
    <w:r>
      <w:t>Recorded by Andrea Wright</w:t>
    </w:r>
  </w:p>
  <w:p w:rsidR="0095381E" w:rsidRDefault="00953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81E" w:rsidRDefault="0095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B723B"/>
    <w:multiLevelType w:val="hybridMultilevel"/>
    <w:tmpl w:val="FDE6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AB"/>
    <w:rsid w:val="00123E27"/>
    <w:rsid w:val="00124BE6"/>
    <w:rsid w:val="00127EEE"/>
    <w:rsid w:val="00143431"/>
    <w:rsid w:val="001667BB"/>
    <w:rsid w:val="001F586E"/>
    <w:rsid w:val="0020331C"/>
    <w:rsid w:val="00222C78"/>
    <w:rsid w:val="0024734B"/>
    <w:rsid w:val="00256B39"/>
    <w:rsid w:val="002738FB"/>
    <w:rsid w:val="00285B19"/>
    <w:rsid w:val="00295C05"/>
    <w:rsid w:val="002A0989"/>
    <w:rsid w:val="002A603C"/>
    <w:rsid w:val="002C4BA4"/>
    <w:rsid w:val="002C50B2"/>
    <w:rsid w:val="002D1BB3"/>
    <w:rsid w:val="002D64CF"/>
    <w:rsid w:val="002D73A1"/>
    <w:rsid w:val="002D784D"/>
    <w:rsid w:val="002D7D6A"/>
    <w:rsid w:val="002E0DF7"/>
    <w:rsid w:val="002E2AFF"/>
    <w:rsid w:val="002F370D"/>
    <w:rsid w:val="00301CFC"/>
    <w:rsid w:val="00327881"/>
    <w:rsid w:val="00342A9C"/>
    <w:rsid w:val="00374AAB"/>
    <w:rsid w:val="00381913"/>
    <w:rsid w:val="00392286"/>
    <w:rsid w:val="00394B9C"/>
    <w:rsid w:val="003D6C6E"/>
    <w:rsid w:val="003E3BAE"/>
    <w:rsid w:val="003F1F99"/>
    <w:rsid w:val="003F3439"/>
    <w:rsid w:val="003F42FB"/>
    <w:rsid w:val="003F792D"/>
    <w:rsid w:val="003F7E99"/>
    <w:rsid w:val="004020BE"/>
    <w:rsid w:val="00413CE5"/>
    <w:rsid w:val="004344BE"/>
    <w:rsid w:val="00441E2E"/>
    <w:rsid w:val="00474B62"/>
    <w:rsid w:val="0048224F"/>
    <w:rsid w:val="004B253C"/>
    <w:rsid w:val="004C0231"/>
    <w:rsid w:val="004E29DF"/>
    <w:rsid w:val="004E4D97"/>
    <w:rsid w:val="004F0327"/>
    <w:rsid w:val="0052441C"/>
    <w:rsid w:val="00540F3B"/>
    <w:rsid w:val="00583F16"/>
    <w:rsid w:val="00590978"/>
    <w:rsid w:val="005E7A31"/>
    <w:rsid w:val="006029FE"/>
    <w:rsid w:val="00626066"/>
    <w:rsid w:val="00641BF5"/>
    <w:rsid w:val="0067576F"/>
    <w:rsid w:val="00695254"/>
    <w:rsid w:val="006C12B1"/>
    <w:rsid w:val="006E5E44"/>
    <w:rsid w:val="00702BCF"/>
    <w:rsid w:val="00711BE8"/>
    <w:rsid w:val="00720DCE"/>
    <w:rsid w:val="00726B46"/>
    <w:rsid w:val="00726EDF"/>
    <w:rsid w:val="0074085A"/>
    <w:rsid w:val="007A1506"/>
    <w:rsid w:val="007A6300"/>
    <w:rsid w:val="007B6402"/>
    <w:rsid w:val="007B6D47"/>
    <w:rsid w:val="007C3272"/>
    <w:rsid w:val="007C78C6"/>
    <w:rsid w:val="007E0EFB"/>
    <w:rsid w:val="007F1541"/>
    <w:rsid w:val="007F3577"/>
    <w:rsid w:val="008212E1"/>
    <w:rsid w:val="00844A8C"/>
    <w:rsid w:val="008610D0"/>
    <w:rsid w:val="008662C6"/>
    <w:rsid w:val="00881A6F"/>
    <w:rsid w:val="00892F75"/>
    <w:rsid w:val="008C53D2"/>
    <w:rsid w:val="008D2242"/>
    <w:rsid w:val="008D27BA"/>
    <w:rsid w:val="008E2928"/>
    <w:rsid w:val="008F1433"/>
    <w:rsid w:val="0090603C"/>
    <w:rsid w:val="00906B95"/>
    <w:rsid w:val="00920431"/>
    <w:rsid w:val="00925C96"/>
    <w:rsid w:val="009307FB"/>
    <w:rsid w:val="009365F6"/>
    <w:rsid w:val="0095381E"/>
    <w:rsid w:val="009646EC"/>
    <w:rsid w:val="009760A4"/>
    <w:rsid w:val="00992AF7"/>
    <w:rsid w:val="009B2F27"/>
    <w:rsid w:val="009D0312"/>
    <w:rsid w:val="009E15C7"/>
    <w:rsid w:val="009F1097"/>
    <w:rsid w:val="009F29DC"/>
    <w:rsid w:val="00A00EF7"/>
    <w:rsid w:val="00A375E3"/>
    <w:rsid w:val="00A55C6A"/>
    <w:rsid w:val="00A605D7"/>
    <w:rsid w:val="00A86F6A"/>
    <w:rsid w:val="00AA3C6C"/>
    <w:rsid w:val="00AA53FE"/>
    <w:rsid w:val="00AA568D"/>
    <w:rsid w:val="00AB6793"/>
    <w:rsid w:val="00AC69ED"/>
    <w:rsid w:val="00AF1AF3"/>
    <w:rsid w:val="00B1320B"/>
    <w:rsid w:val="00B30B97"/>
    <w:rsid w:val="00B4548F"/>
    <w:rsid w:val="00B63D93"/>
    <w:rsid w:val="00B8595E"/>
    <w:rsid w:val="00BC6F36"/>
    <w:rsid w:val="00BF1132"/>
    <w:rsid w:val="00C13846"/>
    <w:rsid w:val="00C241DD"/>
    <w:rsid w:val="00C26FD3"/>
    <w:rsid w:val="00C27B14"/>
    <w:rsid w:val="00C40177"/>
    <w:rsid w:val="00C454DE"/>
    <w:rsid w:val="00C50ECA"/>
    <w:rsid w:val="00C54B90"/>
    <w:rsid w:val="00C571E0"/>
    <w:rsid w:val="00C67C20"/>
    <w:rsid w:val="00C70E91"/>
    <w:rsid w:val="00C7375A"/>
    <w:rsid w:val="00C9444B"/>
    <w:rsid w:val="00C97DF6"/>
    <w:rsid w:val="00CD1F72"/>
    <w:rsid w:val="00CF48C4"/>
    <w:rsid w:val="00D14B4D"/>
    <w:rsid w:val="00D25C32"/>
    <w:rsid w:val="00D53349"/>
    <w:rsid w:val="00D765E1"/>
    <w:rsid w:val="00D82C37"/>
    <w:rsid w:val="00DA22DD"/>
    <w:rsid w:val="00DE6580"/>
    <w:rsid w:val="00DF40C6"/>
    <w:rsid w:val="00E326EE"/>
    <w:rsid w:val="00E83012"/>
    <w:rsid w:val="00E9054D"/>
    <w:rsid w:val="00EC06BC"/>
    <w:rsid w:val="00ED466E"/>
    <w:rsid w:val="00ED58E4"/>
    <w:rsid w:val="00EE279E"/>
    <w:rsid w:val="00F15B2D"/>
    <w:rsid w:val="00F27E38"/>
    <w:rsid w:val="00F365D9"/>
    <w:rsid w:val="00F36B73"/>
    <w:rsid w:val="00F44A86"/>
    <w:rsid w:val="00F47D75"/>
    <w:rsid w:val="00F519CD"/>
    <w:rsid w:val="00F53A94"/>
    <w:rsid w:val="00F6327F"/>
    <w:rsid w:val="00F8479B"/>
    <w:rsid w:val="00F85DAC"/>
    <w:rsid w:val="00F93BCD"/>
    <w:rsid w:val="00FB0179"/>
    <w:rsid w:val="00FB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981FE-DF39-452F-BFD7-E354C8B5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1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A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F1F99"/>
    <w:rPr>
      <w:color w:val="0563C1" w:themeColor="hyperlink"/>
      <w:u w:val="single"/>
    </w:rPr>
  </w:style>
  <w:style w:type="paragraph" w:styleId="Header">
    <w:name w:val="header"/>
    <w:basedOn w:val="Normal"/>
    <w:link w:val="HeaderChar"/>
    <w:uiPriority w:val="99"/>
    <w:unhideWhenUsed/>
    <w:rsid w:val="0095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1E"/>
  </w:style>
  <w:style w:type="paragraph" w:styleId="Footer">
    <w:name w:val="footer"/>
    <w:basedOn w:val="Normal"/>
    <w:link w:val="FooterChar"/>
    <w:uiPriority w:val="99"/>
    <w:unhideWhenUsed/>
    <w:rsid w:val="0095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1E"/>
  </w:style>
  <w:style w:type="character" w:customStyle="1" w:styleId="Heading2Char">
    <w:name w:val="Heading 2 Char"/>
    <w:basedOn w:val="DefaultParagraphFont"/>
    <w:link w:val="Heading2"/>
    <w:uiPriority w:val="9"/>
    <w:rsid w:val="002D1B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C0231"/>
    <w:pPr>
      <w:ind w:left="720"/>
      <w:contextualSpacing/>
    </w:pPr>
  </w:style>
  <w:style w:type="character" w:styleId="CommentReference">
    <w:name w:val="annotation reference"/>
    <w:basedOn w:val="DefaultParagraphFont"/>
    <w:uiPriority w:val="99"/>
    <w:semiHidden/>
    <w:unhideWhenUsed/>
    <w:rsid w:val="00222C78"/>
    <w:rPr>
      <w:sz w:val="16"/>
      <w:szCs w:val="16"/>
    </w:rPr>
  </w:style>
  <w:style w:type="paragraph" w:styleId="CommentText">
    <w:name w:val="annotation text"/>
    <w:basedOn w:val="Normal"/>
    <w:link w:val="CommentTextChar"/>
    <w:uiPriority w:val="99"/>
    <w:semiHidden/>
    <w:unhideWhenUsed/>
    <w:rsid w:val="00222C78"/>
    <w:pPr>
      <w:spacing w:line="240" w:lineRule="auto"/>
    </w:pPr>
    <w:rPr>
      <w:sz w:val="20"/>
      <w:szCs w:val="20"/>
    </w:rPr>
  </w:style>
  <w:style w:type="character" w:customStyle="1" w:styleId="CommentTextChar">
    <w:name w:val="Comment Text Char"/>
    <w:basedOn w:val="DefaultParagraphFont"/>
    <w:link w:val="CommentText"/>
    <w:uiPriority w:val="99"/>
    <w:semiHidden/>
    <w:rsid w:val="00222C78"/>
    <w:rPr>
      <w:sz w:val="20"/>
      <w:szCs w:val="20"/>
    </w:rPr>
  </w:style>
  <w:style w:type="paragraph" w:styleId="CommentSubject">
    <w:name w:val="annotation subject"/>
    <w:basedOn w:val="CommentText"/>
    <w:next w:val="CommentText"/>
    <w:link w:val="CommentSubjectChar"/>
    <w:uiPriority w:val="99"/>
    <w:semiHidden/>
    <w:unhideWhenUsed/>
    <w:rsid w:val="00222C78"/>
    <w:rPr>
      <w:b/>
      <w:bCs/>
    </w:rPr>
  </w:style>
  <w:style w:type="character" w:customStyle="1" w:styleId="CommentSubjectChar">
    <w:name w:val="Comment Subject Char"/>
    <w:basedOn w:val="CommentTextChar"/>
    <w:link w:val="CommentSubject"/>
    <w:uiPriority w:val="99"/>
    <w:semiHidden/>
    <w:rsid w:val="00222C78"/>
    <w:rPr>
      <w:b/>
      <w:bCs/>
      <w:sz w:val="20"/>
      <w:szCs w:val="20"/>
    </w:rPr>
  </w:style>
  <w:style w:type="paragraph" w:styleId="BalloonText">
    <w:name w:val="Balloon Text"/>
    <w:basedOn w:val="Normal"/>
    <w:link w:val="BalloonTextChar"/>
    <w:uiPriority w:val="99"/>
    <w:semiHidden/>
    <w:unhideWhenUsed/>
    <w:rsid w:val="00222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7/106A" TargetMode="External"/><Relationship Id="rId13" Type="http://schemas.openxmlformats.org/officeDocument/2006/relationships/hyperlink" Target="http://www.worldcat.org/oclc/89868762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ipo.int/treaties/en/text.jsp?file_id=283698" TargetMode="External"/><Relationship Id="rId12" Type="http://schemas.openxmlformats.org/officeDocument/2006/relationships/hyperlink" Target="https://www.regulations.gov/document?D=COLC-2017-0003-00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granule/FR-2017-03-02/2017-0406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upreme.justia.com/cases/federal/us/539/2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penjurist.org/192/f3d/608/jan-randolph-martin-v-city-of-indianapoli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Wright</dc:creator>
  <cp:keywords/>
  <dc:description/>
  <cp:lastModifiedBy>Carla Myers</cp:lastModifiedBy>
  <cp:revision>2</cp:revision>
  <dcterms:created xsi:type="dcterms:W3CDTF">2017-09-01T20:48:00Z</dcterms:created>
  <dcterms:modified xsi:type="dcterms:W3CDTF">2017-09-01T20:48:00Z</dcterms:modified>
</cp:coreProperties>
</file>