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D762B5" w:rsidRPr="00D334AA" w:rsidTr="00D762B5">
        <w:tc>
          <w:tcPr>
            <w:tcW w:w="9350" w:type="dxa"/>
          </w:tcPr>
          <w:p w:rsidR="00D762B5" w:rsidRPr="00D334AA" w:rsidRDefault="00D762B5" w:rsidP="00D334AA">
            <w:pPr>
              <w:spacing w:line="252" w:lineRule="auto"/>
              <w:rPr>
                <w:sz w:val="28"/>
                <w:szCs w:val="28"/>
              </w:rPr>
            </w:pPr>
            <w:r w:rsidRPr="00D334AA">
              <w:rPr>
                <w:sz w:val="28"/>
                <w:szCs w:val="28"/>
              </w:rPr>
              <w:t xml:space="preserve">A. </w:t>
            </w:r>
          </w:p>
          <w:p w:rsidR="00D762B5" w:rsidRPr="00D334AA" w:rsidRDefault="00D762B5" w:rsidP="00D334AA">
            <w:pPr>
              <w:spacing w:line="252" w:lineRule="auto"/>
              <w:rPr>
                <w:sz w:val="28"/>
                <w:szCs w:val="28"/>
              </w:rPr>
            </w:pPr>
          </w:p>
          <w:p w:rsidR="00D762B5" w:rsidRPr="00D334AA" w:rsidRDefault="00D762B5"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762B5" w:rsidRPr="00D334AA" w:rsidRDefault="00D762B5"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762B5" w:rsidRPr="00D334AA" w:rsidRDefault="00D762B5" w:rsidP="00D334AA">
            <w:pPr>
              <w:spacing w:line="252" w:lineRule="auto"/>
              <w:rPr>
                <w:sz w:val="28"/>
                <w:szCs w:val="28"/>
              </w:rPr>
            </w:pPr>
          </w:p>
          <w:p w:rsidR="00D762B5" w:rsidRPr="00D334AA" w:rsidRDefault="00D762B5" w:rsidP="00D334AA">
            <w:pPr>
              <w:spacing w:line="252" w:lineRule="auto"/>
              <w:rPr>
                <w:sz w:val="28"/>
                <w:szCs w:val="28"/>
              </w:rPr>
            </w:pPr>
          </w:p>
          <w:p w:rsidR="00D762B5" w:rsidRPr="00D334AA" w:rsidRDefault="00D762B5" w:rsidP="00D334AA">
            <w:pPr>
              <w:spacing w:line="252" w:lineRule="auto"/>
              <w:jc w:val="right"/>
              <w:rPr>
                <w:sz w:val="28"/>
                <w:szCs w:val="28"/>
              </w:rPr>
            </w:pPr>
            <w:r w:rsidRPr="00D334AA">
              <w:rPr>
                <w:sz w:val="28"/>
                <w:szCs w:val="28"/>
              </w:rPr>
              <w:t>by__________</w:t>
            </w:r>
          </w:p>
          <w:p w:rsidR="00D762B5" w:rsidRPr="00D334AA" w:rsidRDefault="00D762B5" w:rsidP="00D334AA">
            <w:pPr>
              <w:spacing w:line="252" w:lineRule="auto"/>
              <w:rPr>
                <w:sz w:val="28"/>
                <w:szCs w:val="28"/>
              </w:rPr>
            </w:pPr>
          </w:p>
        </w:tc>
      </w:tr>
    </w:tbl>
    <w:p w:rsidR="00D334AA" w:rsidRPr="00C371F3" w:rsidRDefault="00D334AA" w:rsidP="00D334AA">
      <w:pPr>
        <w:spacing w:line="252" w:lineRule="auto"/>
        <w:rPr>
          <w:sz w:val="16"/>
          <w:szCs w:val="16"/>
        </w:rPr>
      </w:pPr>
    </w:p>
    <w:tbl>
      <w:tblPr>
        <w:tblStyle w:val="TableGrid"/>
        <w:tblW w:w="0" w:type="auto"/>
        <w:tblLook w:val="04A0" w:firstRow="1" w:lastRow="0" w:firstColumn="1" w:lastColumn="0" w:noHBand="0" w:noVBand="1"/>
      </w:tblPr>
      <w:tblGrid>
        <w:gridCol w:w="9350"/>
      </w:tblGrid>
      <w:tr w:rsidR="00D762B5" w:rsidRPr="00D334AA" w:rsidTr="00D762B5">
        <w:tc>
          <w:tcPr>
            <w:tcW w:w="9350" w:type="dxa"/>
          </w:tcPr>
          <w:p w:rsidR="00D762B5" w:rsidRPr="00D334AA" w:rsidRDefault="00D762B5" w:rsidP="00D334AA">
            <w:pPr>
              <w:spacing w:line="252" w:lineRule="auto"/>
              <w:rPr>
                <w:b/>
                <w:sz w:val="28"/>
                <w:szCs w:val="28"/>
                <w:vertAlign w:val="superscript"/>
              </w:rPr>
            </w:pPr>
            <w:r w:rsidRPr="00D334AA">
              <w:rPr>
                <w:sz w:val="28"/>
                <w:szCs w:val="28"/>
              </w:rPr>
              <w:t>B.</w:t>
            </w:r>
            <w:r w:rsidRPr="00D334AA">
              <w:rPr>
                <w:b/>
                <w:sz w:val="28"/>
                <w:szCs w:val="28"/>
              </w:rPr>
              <w:t>_______________________________________</w:t>
            </w:r>
            <w:r w:rsidRPr="00D334AA">
              <w:rPr>
                <w:b/>
                <w:sz w:val="28"/>
                <w:szCs w:val="28"/>
                <w:vertAlign w:val="superscript"/>
              </w:rPr>
              <w:t>TM</w:t>
            </w:r>
          </w:p>
          <w:p w:rsidR="00D762B5" w:rsidRPr="00D334AA" w:rsidRDefault="00D762B5"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762B5" w:rsidRPr="00D334AA" w:rsidRDefault="00D762B5" w:rsidP="00D334AA">
            <w:pPr>
              <w:spacing w:line="252" w:lineRule="auto"/>
              <w:rPr>
                <w:sz w:val="28"/>
                <w:szCs w:val="28"/>
              </w:rPr>
            </w:pPr>
            <w:r w:rsidRPr="00D334AA">
              <w:rPr>
                <w:sz w:val="28"/>
                <w:szCs w:val="28"/>
              </w:rPr>
              <w:t>$</w:t>
            </w:r>
            <w:r w:rsidR="00D334AA" w:rsidRPr="00D334AA">
              <w:rPr>
                <w:sz w:val="28"/>
                <w:szCs w:val="28"/>
              </w:rPr>
              <w:t>________</w:t>
            </w:r>
            <w:r w:rsidRPr="00D334AA">
              <w:rPr>
                <w:sz w:val="28"/>
                <w:szCs w:val="28"/>
              </w:rPr>
              <w:t>._____</w:t>
            </w:r>
          </w:p>
          <w:p w:rsidR="00D762B5" w:rsidRPr="00D334AA" w:rsidRDefault="00D762B5" w:rsidP="00D334AA">
            <w:pPr>
              <w:spacing w:line="252" w:lineRule="auto"/>
              <w:rPr>
                <w:sz w:val="28"/>
                <w:szCs w:val="28"/>
              </w:rPr>
            </w:pPr>
          </w:p>
        </w:tc>
      </w:tr>
    </w:tbl>
    <w:p w:rsidR="00D334AA" w:rsidRPr="00C371F3" w:rsidRDefault="00D334AA" w:rsidP="00D334AA">
      <w:pPr>
        <w:spacing w:line="252" w:lineRule="auto"/>
        <w:rPr>
          <w:sz w:val="16"/>
          <w:szCs w:val="16"/>
        </w:rPr>
      </w:pPr>
    </w:p>
    <w:tbl>
      <w:tblPr>
        <w:tblStyle w:val="TableGrid"/>
        <w:tblW w:w="0" w:type="auto"/>
        <w:tblLook w:val="04A0" w:firstRow="1" w:lastRow="0" w:firstColumn="1" w:lastColumn="0" w:noHBand="0" w:noVBand="1"/>
      </w:tblPr>
      <w:tblGrid>
        <w:gridCol w:w="9350"/>
      </w:tblGrid>
      <w:tr w:rsidR="00D762B5" w:rsidRPr="00D334AA" w:rsidTr="00D762B5">
        <w:tc>
          <w:tcPr>
            <w:tcW w:w="9350" w:type="dxa"/>
          </w:tcPr>
          <w:p w:rsidR="00D762B5" w:rsidRPr="00D334AA" w:rsidRDefault="00D334AA" w:rsidP="00D334AA">
            <w:pPr>
              <w:spacing w:line="252" w:lineRule="auto"/>
              <w:rPr>
                <w:sz w:val="28"/>
                <w:szCs w:val="28"/>
              </w:rPr>
            </w:pPr>
            <w:r w:rsidRPr="00D334AA">
              <w:rPr>
                <w:sz w:val="28"/>
                <w:szCs w:val="28"/>
              </w:rPr>
              <w:t>C.</w:t>
            </w:r>
          </w:p>
          <w:p w:rsidR="00D334AA" w:rsidRDefault="00D334AA" w:rsidP="00D334AA">
            <w:pPr>
              <w:spacing w:line="252" w:lineRule="auto"/>
              <w:rPr>
                <w:sz w:val="28"/>
                <w:szCs w:val="28"/>
              </w:rPr>
            </w:pPr>
          </w:p>
          <w:p w:rsidR="00C371F3" w:rsidRPr="00D334AA" w:rsidRDefault="00C371F3" w:rsidP="00D334AA">
            <w:pPr>
              <w:spacing w:line="252" w:lineRule="auto"/>
              <w:rPr>
                <w:sz w:val="28"/>
                <w:szCs w:val="28"/>
              </w:rPr>
            </w:pPr>
          </w:p>
          <w:p w:rsidR="00D334AA" w:rsidRPr="00D334AA" w:rsidRDefault="00D334AA" w:rsidP="00D334AA">
            <w:pPr>
              <w:spacing w:line="252" w:lineRule="auto"/>
              <w:rPr>
                <w:sz w:val="28"/>
                <w:szCs w:val="28"/>
              </w:rPr>
            </w:pPr>
            <w:r w:rsidRPr="00D334AA">
              <w:rPr>
                <w:sz w:val="28"/>
                <w:szCs w:val="28"/>
              </w:rPr>
              <w:lastRenderedPageBreak/>
              <w:t>Copyright: under U.S. Law (17 U.S.C. § 106)—includes the exclusive rights to do and to authorize any of the following:</w:t>
            </w:r>
          </w:p>
          <w:p w:rsidR="00D334AA" w:rsidRPr="00D334AA" w:rsidRDefault="00D334AA" w:rsidP="00D334AA">
            <w:pPr>
              <w:pStyle w:val="ListParagraph"/>
              <w:numPr>
                <w:ilvl w:val="0"/>
                <w:numId w:val="1"/>
              </w:numPr>
              <w:spacing w:line="252" w:lineRule="auto"/>
              <w:rPr>
                <w:sz w:val="28"/>
                <w:szCs w:val="28"/>
              </w:rPr>
            </w:pPr>
            <w:r w:rsidRPr="00D334AA">
              <w:rPr>
                <w:sz w:val="28"/>
                <w:szCs w:val="28"/>
              </w:rPr>
              <w:t>To reproduce the work in copies or phonorecords;</w:t>
            </w:r>
          </w:p>
          <w:p w:rsidR="00D334AA" w:rsidRPr="00D334AA" w:rsidRDefault="00D334AA" w:rsidP="00D334AA">
            <w:pPr>
              <w:pStyle w:val="ListParagraph"/>
              <w:numPr>
                <w:ilvl w:val="0"/>
                <w:numId w:val="1"/>
              </w:numPr>
              <w:spacing w:line="252" w:lineRule="auto"/>
              <w:rPr>
                <w:sz w:val="28"/>
                <w:szCs w:val="28"/>
              </w:rPr>
            </w:pPr>
            <w:r w:rsidRPr="00D334AA">
              <w:rPr>
                <w:sz w:val="28"/>
                <w:szCs w:val="28"/>
              </w:rPr>
              <w:t>To prepare derivative works based upon the work;</w:t>
            </w:r>
          </w:p>
          <w:p w:rsidR="00D334AA" w:rsidRPr="00D334AA" w:rsidRDefault="00D334AA" w:rsidP="00D334AA">
            <w:pPr>
              <w:pStyle w:val="ListParagraph"/>
              <w:numPr>
                <w:ilvl w:val="0"/>
                <w:numId w:val="1"/>
              </w:numPr>
              <w:spacing w:line="252" w:lineRule="auto"/>
              <w:rPr>
                <w:sz w:val="28"/>
                <w:szCs w:val="28"/>
              </w:rPr>
            </w:pPr>
            <w:r w:rsidRPr="00D334AA">
              <w:rPr>
                <w:sz w:val="28"/>
                <w:szCs w:val="28"/>
              </w:rPr>
              <w:t>To distribute copies or phonorecords of the work to the public by sale or other transfer of ownership, or by rental, lease, or lending;</w:t>
            </w:r>
          </w:p>
          <w:p w:rsidR="00D334AA" w:rsidRPr="00D334AA" w:rsidRDefault="00D334AA" w:rsidP="00D334AA">
            <w:pPr>
              <w:pStyle w:val="ListParagraph"/>
              <w:numPr>
                <w:ilvl w:val="0"/>
                <w:numId w:val="1"/>
              </w:numPr>
              <w:spacing w:line="252" w:lineRule="auto"/>
              <w:rPr>
                <w:sz w:val="28"/>
                <w:szCs w:val="28"/>
              </w:rPr>
            </w:pPr>
            <w:r w:rsidRPr="00D334AA">
              <w:rPr>
                <w:sz w:val="28"/>
                <w:szCs w:val="28"/>
              </w:rPr>
              <w:t>To publicly perform the work, in the case of literary, musical, dramatic, and choreographic works, pantomimes, and motion pictures and other audiovisual works;</w:t>
            </w:r>
          </w:p>
          <w:p w:rsidR="00D334AA" w:rsidRPr="00D334AA" w:rsidRDefault="00D334AA" w:rsidP="00D334AA">
            <w:pPr>
              <w:pStyle w:val="ListParagraph"/>
              <w:numPr>
                <w:ilvl w:val="0"/>
                <w:numId w:val="1"/>
              </w:numPr>
              <w:spacing w:line="252" w:lineRule="auto"/>
              <w:rPr>
                <w:sz w:val="28"/>
                <w:szCs w:val="28"/>
              </w:rPr>
            </w:pPr>
            <w:r w:rsidRPr="00D334AA">
              <w:rPr>
                <w:sz w:val="28"/>
                <w:szCs w:val="28"/>
              </w:rPr>
              <w:t>To publicly display the work, in the case of literary, musical, dramatic, and choreographic works, pantomimes, and pictorial, graphic, or sculptural works, including the individual images of a motion picture or other audiovisual work.</w:t>
            </w:r>
          </w:p>
          <w:p w:rsidR="00D334AA" w:rsidRPr="00D334AA" w:rsidRDefault="00D334AA" w:rsidP="00D334AA">
            <w:pPr>
              <w:pStyle w:val="ListParagraph"/>
              <w:numPr>
                <w:ilvl w:val="0"/>
                <w:numId w:val="1"/>
              </w:numPr>
              <w:spacing w:line="252" w:lineRule="auto"/>
              <w:rPr>
                <w:sz w:val="28"/>
                <w:szCs w:val="28"/>
              </w:rPr>
            </w:pPr>
            <w:r w:rsidRPr="00D334AA">
              <w:rPr>
                <w:sz w:val="28"/>
                <w:szCs w:val="28"/>
              </w:rPr>
              <w:t>To digitally transmit sound recordings by means of digital audio transmission.</w:t>
            </w: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r w:rsidRPr="00D334AA">
              <w:rPr>
                <w:sz w:val="28"/>
                <w:szCs w:val="28"/>
              </w:rPr>
              <w:t>Violation of these exclusive rights is a copyright infringement, unless fair use or similar affirmative defense applies.</w:t>
            </w:r>
          </w:p>
          <w:p w:rsidR="00D334AA" w:rsidRPr="00D334AA" w:rsidRDefault="00D334AA" w:rsidP="00D334AA">
            <w:pPr>
              <w:spacing w:line="252" w:lineRule="auto"/>
              <w:rPr>
                <w:sz w:val="28"/>
                <w:szCs w:val="28"/>
              </w:rPr>
            </w:pPr>
          </w:p>
        </w:tc>
      </w:tr>
    </w:tbl>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tbl>
      <w:tblPr>
        <w:tblStyle w:val="TableGrid"/>
        <w:tblW w:w="0" w:type="auto"/>
        <w:tblLook w:val="04A0" w:firstRow="1" w:lastRow="0" w:firstColumn="1" w:lastColumn="0" w:noHBand="0" w:noVBand="1"/>
      </w:tblPr>
      <w:tblGrid>
        <w:gridCol w:w="9350"/>
      </w:tblGrid>
      <w:tr w:rsidR="00D762B5" w:rsidRPr="00D334AA" w:rsidTr="00D762B5">
        <w:tc>
          <w:tcPr>
            <w:tcW w:w="9350" w:type="dxa"/>
          </w:tcPr>
          <w:p w:rsidR="00D334AA" w:rsidRPr="00D334AA" w:rsidRDefault="00D334AA" w:rsidP="00D334AA">
            <w:pPr>
              <w:spacing w:line="252" w:lineRule="auto"/>
              <w:rPr>
                <w:sz w:val="28"/>
                <w:szCs w:val="28"/>
              </w:rPr>
            </w:pPr>
            <w:r w:rsidRPr="00D334AA">
              <w:rPr>
                <w:sz w:val="28"/>
                <w:szCs w:val="28"/>
              </w:rPr>
              <w:t>Fair Use—under U.S. Law (17 U.S.C. § 107)—is determined by case, with the following four factors always in consideration:</w:t>
            </w:r>
          </w:p>
          <w:p w:rsidR="00D334AA" w:rsidRPr="00D334AA" w:rsidRDefault="00D334AA" w:rsidP="00D334AA">
            <w:pPr>
              <w:pStyle w:val="ListParagraph"/>
              <w:numPr>
                <w:ilvl w:val="0"/>
                <w:numId w:val="2"/>
              </w:numPr>
              <w:spacing w:line="252" w:lineRule="auto"/>
              <w:ind w:left="433"/>
              <w:rPr>
                <w:sz w:val="28"/>
                <w:szCs w:val="28"/>
              </w:rPr>
            </w:pPr>
            <w:r w:rsidRPr="00D334AA">
              <w:rPr>
                <w:sz w:val="28"/>
                <w:szCs w:val="28"/>
              </w:rPr>
              <w:t>the purpose and character of the use, including whether such use is of a commercial nature or is for nonprofit educational purposes;</w:t>
            </w:r>
          </w:p>
          <w:p w:rsidR="00D334AA" w:rsidRPr="00D334AA" w:rsidRDefault="00D334AA" w:rsidP="00D334AA">
            <w:pPr>
              <w:pStyle w:val="ListParagraph"/>
              <w:spacing w:line="252" w:lineRule="auto"/>
              <w:ind w:left="433"/>
              <w:rPr>
                <w:sz w:val="28"/>
                <w:szCs w:val="28"/>
              </w:rPr>
            </w:pPr>
          </w:p>
          <w:p w:rsidR="00D334AA" w:rsidRPr="00D334AA" w:rsidRDefault="00D334AA" w:rsidP="00D334AA">
            <w:pPr>
              <w:pStyle w:val="ListParagraph"/>
              <w:numPr>
                <w:ilvl w:val="0"/>
                <w:numId w:val="2"/>
              </w:numPr>
              <w:spacing w:line="252" w:lineRule="auto"/>
              <w:ind w:left="433"/>
              <w:rPr>
                <w:sz w:val="28"/>
                <w:szCs w:val="28"/>
              </w:rPr>
            </w:pPr>
            <w:r w:rsidRPr="00D334AA">
              <w:rPr>
                <w:sz w:val="28"/>
                <w:szCs w:val="28"/>
              </w:rPr>
              <w:t>the nature of the copyrighted work;</w:t>
            </w:r>
          </w:p>
          <w:p w:rsidR="00D334AA" w:rsidRPr="00D334AA" w:rsidRDefault="00D334AA" w:rsidP="00D334AA">
            <w:pPr>
              <w:pStyle w:val="ListParagraph"/>
              <w:spacing w:line="252" w:lineRule="auto"/>
              <w:ind w:left="433"/>
              <w:rPr>
                <w:sz w:val="28"/>
                <w:szCs w:val="28"/>
              </w:rPr>
            </w:pPr>
          </w:p>
          <w:p w:rsidR="00D334AA" w:rsidRPr="00D334AA" w:rsidRDefault="00D334AA" w:rsidP="00D334AA">
            <w:pPr>
              <w:pStyle w:val="ListParagraph"/>
              <w:numPr>
                <w:ilvl w:val="0"/>
                <w:numId w:val="2"/>
              </w:numPr>
              <w:spacing w:line="252" w:lineRule="auto"/>
              <w:ind w:left="433"/>
              <w:rPr>
                <w:sz w:val="28"/>
                <w:szCs w:val="28"/>
              </w:rPr>
            </w:pPr>
            <w:r w:rsidRPr="00D334AA">
              <w:rPr>
                <w:sz w:val="28"/>
                <w:szCs w:val="28"/>
              </w:rPr>
              <w:t>the amount and substantiality of the portion used in relation to the copyrighted work as a whole; an</w:t>
            </w:r>
          </w:p>
          <w:p w:rsidR="00D334AA" w:rsidRPr="00D334AA" w:rsidRDefault="00D334AA" w:rsidP="00D334AA">
            <w:pPr>
              <w:pStyle w:val="ListParagraph"/>
              <w:spacing w:line="252" w:lineRule="auto"/>
              <w:ind w:left="433"/>
              <w:rPr>
                <w:sz w:val="28"/>
                <w:szCs w:val="28"/>
              </w:rPr>
            </w:pPr>
          </w:p>
          <w:p w:rsidR="00D762B5" w:rsidRPr="00D334AA" w:rsidRDefault="00D334AA" w:rsidP="00D334AA">
            <w:pPr>
              <w:pStyle w:val="ListParagraph"/>
              <w:numPr>
                <w:ilvl w:val="0"/>
                <w:numId w:val="2"/>
              </w:numPr>
              <w:spacing w:line="252" w:lineRule="auto"/>
              <w:ind w:left="433"/>
              <w:rPr>
                <w:sz w:val="28"/>
                <w:szCs w:val="28"/>
              </w:rPr>
            </w:pPr>
            <w:r w:rsidRPr="00D334AA">
              <w:rPr>
                <w:sz w:val="28"/>
                <w:szCs w:val="28"/>
              </w:rPr>
              <w:t>the effect of the use upon the potential market for or value of the copyrighted work.</w:t>
            </w:r>
          </w:p>
          <w:p w:rsidR="00D334AA" w:rsidRPr="00D334AA" w:rsidRDefault="00D334AA" w:rsidP="00D334AA">
            <w:pPr>
              <w:pStyle w:val="ListParagraph"/>
              <w:spacing w:line="252" w:lineRule="auto"/>
              <w:rPr>
                <w:sz w:val="28"/>
                <w:szCs w:val="28"/>
              </w:rPr>
            </w:pPr>
          </w:p>
        </w:tc>
      </w:tr>
    </w:tbl>
    <w:p w:rsidR="00D334AA" w:rsidRDefault="00D334AA" w:rsidP="00D334AA">
      <w:pPr>
        <w:spacing w:line="252" w:lineRule="auto"/>
        <w:rPr>
          <w:sz w:val="28"/>
          <w:szCs w:val="28"/>
        </w:rPr>
      </w:pPr>
    </w:p>
    <w:p w:rsidR="00BA3EFF" w:rsidRPr="00D334AA" w:rsidRDefault="00BA3EFF" w:rsidP="00D334AA">
      <w:pPr>
        <w:spacing w:line="252" w:lineRule="auto"/>
        <w:rPr>
          <w:sz w:val="28"/>
          <w:szCs w:val="28"/>
        </w:rPr>
      </w:pPr>
    </w:p>
    <w:tbl>
      <w:tblPr>
        <w:tblStyle w:val="TableGrid"/>
        <w:tblW w:w="0" w:type="auto"/>
        <w:tblLook w:val="04A0" w:firstRow="1" w:lastRow="0" w:firstColumn="1" w:lastColumn="0" w:noHBand="0" w:noVBand="1"/>
      </w:tblPr>
      <w:tblGrid>
        <w:gridCol w:w="9350"/>
      </w:tblGrid>
      <w:tr w:rsidR="00D334AA" w:rsidRPr="00D334AA" w:rsidTr="00D334AA">
        <w:tc>
          <w:tcPr>
            <w:tcW w:w="9350" w:type="dxa"/>
          </w:tcPr>
          <w:p w:rsidR="00D334AA" w:rsidRPr="00D334AA" w:rsidRDefault="00D334AA" w:rsidP="00D334AA">
            <w:pPr>
              <w:spacing w:line="252" w:lineRule="auto"/>
              <w:rPr>
                <w:sz w:val="28"/>
                <w:szCs w:val="28"/>
              </w:rPr>
            </w:pPr>
            <w:r w:rsidRPr="00D334AA">
              <w:rPr>
                <w:sz w:val="28"/>
                <w:szCs w:val="28"/>
              </w:rPr>
              <w:lastRenderedPageBreak/>
              <w:t>D. Takedown Notice</w:t>
            </w: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tc>
      </w:tr>
    </w:tbl>
    <w:p w:rsidR="00D334AA" w:rsidRPr="00BA3EFF" w:rsidRDefault="00D334AA">
      <w:pPr>
        <w:rPr>
          <w:sz w:val="16"/>
          <w:szCs w:val="16"/>
        </w:rPr>
      </w:pPr>
    </w:p>
    <w:tbl>
      <w:tblPr>
        <w:tblStyle w:val="TableGrid"/>
        <w:tblW w:w="0" w:type="auto"/>
        <w:tblLook w:val="04A0" w:firstRow="1" w:lastRow="0" w:firstColumn="1" w:lastColumn="0" w:noHBand="0" w:noVBand="1"/>
      </w:tblPr>
      <w:tblGrid>
        <w:gridCol w:w="9350"/>
      </w:tblGrid>
      <w:tr w:rsidR="00D334AA" w:rsidRPr="00D334AA" w:rsidTr="00D334AA">
        <w:tc>
          <w:tcPr>
            <w:tcW w:w="9350" w:type="dxa"/>
          </w:tcPr>
          <w:p w:rsidR="00D334AA" w:rsidRPr="00D334AA" w:rsidRDefault="00A56400" w:rsidP="00D334AA">
            <w:pPr>
              <w:spacing w:line="252" w:lineRule="auto"/>
              <w:rPr>
                <w:sz w:val="28"/>
                <w:szCs w:val="28"/>
              </w:rPr>
            </w:pPr>
            <w:r>
              <w:rPr>
                <w:sz w:val="28"/>
                <w:szCs w:val="28"/>
              </w:rPr>
              <w:t>E</w:t>
            </w:r>
            <w:r w:rsidR="00D334AA" w:rsidRPr="00D334AA">
              <w:rPr>
                <w:sz w:val="28"/>
                <w:szCs w:val="28"/>
              </w:rPr>
              <w:t>. Fair Use Rebuttal</w:t>
            </w: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p w:rsidR="00D334AA" w:rsidRPr="00D334AA" w:rsidRDefault="00D334AA" w:rsidP="00D334AA">
            <w:pPr>
              <w:spacing w:line="252" w:lineRule="auto"/>
              <w:rPr>
                <w:sz w:val="28"/>
                <w:szCs w:val="28"/>
              </w:rPr>
            </w:pPr>
          </w:p>
        </w:tc>
      </w:tr>
    </w:tbl>
    <w:p w:rsidR="00A279D5" w:rsidRDefault="00A279D5" w:rsidP="00D334AA">
      <w:pPr>
        <w:spacing w:line="360" w:lineRule="auto"/>
        <w:rPr>
          <w:sz w:val="28"/>
          <w:szCs w:val="28"/>
        </w:rPr>
        <w:sectPr w:rsidR="00A279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536952" w:rsidRDefault="00536952" w:rsidP="00D334AA">
      <w:pPr>
        <w:pStyle w:val="NormalWeb"/>
        <w:shd w:val="clear" w:color="auto" w:fill="FFFFFF"/>
        <w:spacing w:before="0" w:beforeAutospacing="0" w:after="0" w:afterAutospacing="0" w:line="252" w:lineRule="auto"/>
        <w:rPr>
          <w:rStyle w:val="Strong"/>
          <w:color w:val="464646"/>
          <w:sz w:val="28"/>
          <w:szCs w:val="28"/>
        </w:rPr>
      </w:pPr>
      <w:r w:rsidRPr="004942EC">
        <w:rPr>
          <w:noProof/>
          <w:color w:val="464646"/>
          <w:szCs w:val="29"/>
        </w:rPr>
        <w:lastRenderedPageBreak/>
        <w:drawing>
          <wp:inline distT="0" distB="0" distL="0" distR="0" wp14:anchorId="70310028">
            <wp:extent cx="1011555" cy="356870"/>
            <wp:effectExtent l="0" t="0" r="0" b="5080"/>
            <wp:docPr id="25" name="Picture 25"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icensebuttons.net/l/by/3.0/88x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1555" cy="356870"/>
                    </a:xfrm>
                    <a:prstGeom prst="rect">
                      <a:avLst/>
                    </a:prstGeom>
                    <a:noFill/>
                    <a:ln>
                      <a:noFill/>
                    </a:ln>
                  </pic:spPr>
                </pic:pic>
              </a:graphicData>
            </a:graphic>
          </wp:inline>
        </w:drawing>
      </w:r>
    </w:p>
    <w:p w:rsidR="00D334AA" w:rsidRPr="00536952" w:rsidRDefault="00D334AA" w:rsidP="00D334AA">
      <w:pPr>
        <w:pStyle w:val="NormalWeb"/>
        <w:shd w:val="clear" w:color="auto" w:fill="FFFFFF"/>
        <w:spacing w:before="0" w:beforeAutospacing="0" w:after="0" w:afterAutospacing="0" w:line="252" w:lineRule="auto"/>
        <w:rPr>
          <w:color w:val="000000" w:themeColor="text1"/>
        </w:rPr>
      </w:pPr>
      <w:r w:rsidRPr="00536952">
        <w:rPr>
          <w:rStyle w:val="Strong"/>
          <w:color w:val="000000" w:themeColor="text1"/>
        </w:rPr>
        <w:t>(CC BY</w:t>
      </w:r>
      <w:r w:rsidRPr="00536952">
        <w:rPr>
          <w:color w:val="000000" w:themeColor="text1"/>
        </w:rPr>
        <w:t xml:space="preserve">) </w:t>
      </w:r>
      <w:r w:rsidRPr="00536952">
        <w:rPr>
          <w:rStyle w:val="Strong"/>
          <w:color w:val="000000" w:themeColor="text1"/>
        </w:rPr>
        <w:t>Attribution</w:t>
      </w:r>
      <w:r w:rsidRPr="00536952">
        <w:rPr>
          <w:color w:val="000000" w:themeColor="text1"/>
        </w:rPr>
        <w:t xml:space="preserve"> - This license lets others distribute, remix, tweak, and build upon your work, even commercially, as long as they credit you for the original creation. This is the most accommodating of licenses offered. Recommended for maximum dissemination and use of licensed materials.</w:t>
      </w:r>
    </w:p>
    <w:p w:rsidR="00536952" w:rsidRPr="00536952" w:rsidRDefault="00536952" w:rsidP="00D334AA">
      <w:pPr>
        <w:pStyle w:val="NormalWeb"/>
        <w:shd w:val="clear" w:color="auto" w:fill="FFFFFF"/>
        <w:spacing w:before="0" w:beforeAutospacing="0" w:after="0" w:afterAutospacing="0" w:line="252" w:lineRule="auto"/>
        <w:rPr>
          <w:color w:val="000000" w:themeColor="text1"/>
        </w:rPr>
      </w:pPr>
    </w:p>
    <w:p w:rsidR="00D334AA" w:rsidRPr="00536952" w:rsidRDefault="00D334AA" w:rsidP="00D334AA">
      <w:pPr>
        <w:spacing w:line="252" w:lineRule="auto"/>
        <w:rPr>
          <w:color w:val="000000" w:themeColor="text1"/>
        </w:rPr>
      </w:pPr>
      <w:r w:rsidRPr="00536952">
        <w:rPr>
          <w:noProof/>
          <w:color w:val="000000" w:themeColor="text1"/>
        </w:rPr>
        <w:drawing>
          <wp:inline distT="0" distB="0" distL="0" distR="0" wp14:anchorId="60C4EECC">
            <wp:extent cx="1028700" cy="362585"/>
            <wp:effectExtent l="0" t="0" r="0" b="0"/>
            <wp:docPr id="8" name="Picture 8"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censebuttons.net/l/by-sa/3.0/88x3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362585"/>
                    </a:xfrm>
                    <a:prstGeom prst="rect">
                      <a:avLst/>
                    </a:prstGeom>
                    <a:noFill/>
                    <a:ln>
                      <a:noFill/>
                    </a:ln>
                  </pic:spPr>
                </pic:pic>
              </a:graphicData>
            </a:graphic>
          </wp:inline>
        </w:drawing>
      </w:r>
    </w:p>
    <w:p w:rsidR="00D334AA" w:rsidRPr="00536952" w:rsidRDefault="00D334AA" w:rsidP="00D334AA">
      <w:pPr>
        <w:pStyle w:val="NormalWeb"/>
        <w:shd w:val="clear" w:color="auto" w:fill="FFFFFF"/>
        <w:spacing w:before="0" w:beforeAutospacing="0" w:after="0" w:afterAutospacing="0" w:line="252" w:lineRule="auto"/>
        <w:rPr>
          <w:color w:val="000000" w:themeColor="text1"/>
        </w:rPr>
      </w:pPr>
      <w:r w:rsidRPr="00536952">
        <w:rPr>
          <w:rStyle w:val="Strong"/>
          <w:color w:val="000000" w:themeColor="text1"/>
        </w:rPr>
        <w:t>(CC BY-SA</w:t>
      </w:r>
      <w:r w:rsidRPr="00536952">
        <w:rPr>
          <w:color w:val="000000" w:themeColor="text1"/>
        </w:rPr>
        <w:t xml:space="preserve">) </w:t>
      </w:r>
      <w:r w:rsidRPr="00536952">
        <w:rPr>
          <w:rStyle w:val="Strong"/>
          <w:color w:val="000000" w:themeColor="text1"/>
        </w:rPr>
        <w:t>Attribution-</w:t>
      </w:r>
      <w:proofErr w:type="spellStart"/>
      <w:r w:rsidRPr="00536952">
        <w:rPr>
          <w:rStyle w:val="Strong"/>
          <w:color w:val="000000" w:themeColor="text1"/>
        </w:rPr>
        <w:t>ShareAlike</w:t>
      </w:r>
      <w:proofErr w:type="spellEnd"/>
      <w:r w:rsidRPr="00536952">
        <w:rPr>
          <w:color w:val="000000" w:themeColor="text1"/>
        </w:rPr>
        <w:t xml:space="preserve"> - This license lets others remix, tweak, and build upon your work even for commercial purposes, as long as they credit you and license their new creations under the identical terms. This license is often compared to “copyleft” free and open source software licenses. All new works based on yours will carry the same license, so any derivatives will also allow commercial use. This is the license used by Wikipedia, and is recommended for materials that would benefit from incorporating content from Wikipedia and similarly licensed projects.</w:t>
      </w:r>
    </w:p>
    <w:p w:rsidR="00D334AA" w:rsidRPr="00536952" w:rsidRDefault="00D334AA" w:rsidP="00D334AA">
      <w:pPr>
        <w:pStyle w:val="NormalWeb"/>
        <w:shd w:val="clear" w:color="auto" w:fill="FFFFFF"/>
        <w:spacing w:before="0" w:beforeAutospacing="0" w:after="0" w:afterAutospacing="0" w:line="252" w:lineRule="auto"/>
        <w:rPr>
          <w:color w:val="000000" w:themeColor="text1"/>
        </w:rPr>
      </w:pPr>
    </w:p>
    <w:p w:rsidR="00D334AA" w:rsidRPr="00536952" w:rsidRDefault="00D334AA" w:rsidP="00D334AA">
      <w:pPr>
        <w:spacing w:line="252" w:lineRule="auto"/>
        <w:rPr>
          <w:color w:val="000000" w:themeColor="text1"/>
        </w:rPr>
      </w:pPr>
      <w:r w:rsidRPr="00536952">
        <w:rPr>
          <w:noProof/>
          <w:color w:val="000000" w:themeColor="text1"/>
        </w:rPr>
        <w:drawing>
          <wp:inline distT="0" distB="0" distL="0" distR="0" wp14:anchorId="5E4780C4">
            <wp:extent cx="981075" cy="345440"/>
            <wp:effectExtent l="0" t="0" r="9525" b="0"/>
            <wp:docPr id="18" name="Picture 18"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icensebuttons.net/l/by-nc/3.0/88x3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075" cy="345440"/>
                    </a:xfrm>
                    <a:prstGeom prst="rect">
                      <a:avLst/>
                    </a:prstGeom>
                    <a:noFill/>
                    <a:ln>
                      <a:noFill/>
                    </a:ln>
                  </pic:spPr>
                </pic:pic>
              </a:graphicData>
            </a:graphic>
          </wp:inline>
        </w:drawing>
      </w:r>
    </w:p>
    <w:p w:rsidR="00D334AA" w:rsidRPr="00536952" w:rsidRDefault="00D334AA" w:rsidP="00D334AA">
      <w:pPr>
        <w:pStyle w:val="NormalWeb"/>
        <w:shd w:val="clear" w:color="auto" w:fill="FFFFFF"/>
        <w:spacing w:before="0" w:beforeAutospacing="0" w:after="0" w:afterAutospacing="0" w:line="252" w:lineRule="auto"/>
        <w:rPr>
          <w:color w:val="000000" w:themeColor="text1"/>
        </w:rPr>
      </w:pPr>
      <w:r w:rsidRPr="00536952">
        <w:rPr>
          <w:rStyle w:val="Strong"/>
          <w:color w:val="000000" w:themeColor="text1"/>
        </w:rPr>
        <w:t>(CC BY-NC)</w:t>
      </w:r>
      <w:r w:rsidRPr="00536952">
        <w:rPr>
          <w:color w:val="000000" w:themeColor="text1"/>
        </w:rPr>
        <w:t xml:space="preserve"> </w:t>
      </w:r>
      <w:r w:rsidRPr="00536952">
        <w:rPr>
          <w:rStyle w:val="Strong"/>
          <w:color w:val="000000" w:themeColor="text1"/>
        </w:rPr>
        <w:t>Attribution-</w:t>
      </w:r>
      <w:proofErr w:type="spellStart"/>
      <w:r w:rsidRPr="00536952">
        <w:rPr>
          <w:rStyle w:val="Strong"/>
          <w:color w:val="000000" w:themeColor="text1"/>
        </w:rPr>
        <w:t>NonCommercial</w:t>
      </w:r>
      <w:proofErr w:type="spellEnd"/>
      <w:r w:rsidRPr="00536952">
        <w:rPr>
          <w:color w:val="000000" w:themeColor="text1"/>
        </w:rPr>
        <w:t xml:space="preserve"> - This license lets others remix, tweak, and build upon your work non-commercially, and although their new works must also acknowledge you and be non-commercial, they don’t have to license their derivative works on the same terms.</w:t>
      </w:r>
    </w:p>
    <w:p w:rsidR="00536952" w:rsidRPr="00536952" w:rsidRDefault="00536952" w:rsidP="00D334AA">
      <w:pPr>
        <w:pStyle w:val="NormalWeb"/>
        <w:shd w:val="clear" w:color="auto" w:fill="FFFFFF"/>
        <w:spacing w:before="0" w:beforeAutospacing="0" w:after="0" w:afterAutospacing="0" w:line="252" w:lineRule="auto"/>
        <w:rPr>
          <w:color w:val="000000" w:themeColor="text1"/>
        </w:rPr>
      </w:pPr>
    </w:p>
    <w:p w:rsidR="00D334AA" w:rsidRPr="00536952" w:rsidRDefault="00D334AA" w:rsidP="00D334AA">
      <w:pPr>
        <w:spacing w:line="252" w:lineRule="auto"/>
        <w:rPr>
          <w:color w:val="000000" w:themeColor="text1"/>
        </w:rPr>
      </w:pPr>
      <w:r w:rsidRPr="00536952">
        <w:rPr>
          <w:noProof/>
          <w:color w:val="000000" w:themeColor="text1"/>
        </w:rPr>
        <w:drawing>
          <wp:inline distT="0" distB="0" distL="0" distR="0" wp14:anchorId="0CEEF323">
            <wp:extent cx="1040130" cy="357505"/>
            <wp:effectExtent l="0" t="0" r="7620" b="4445"/>
            <wp:docPr id="19" name="Picture 19" descr="https://licensebuttons.net/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icensebuttons.net/l/by-nc-sa/3.0/88x3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0130" cy="357505"/>
                    </a:xfrm>
                    <a:prstGeom prst="rect">
                      <a:avLst/>
                    </a:prstGeom>
                    <a:noFill/>
                    <a:ln>
                      <a:noFill/>
                    </a:ln>
                  </pic:spPr>
                </pic:pic>
              </a:graphicData>
            </a:graphic>
          </wp:inline>
        </w:drawing>
      </w:r>
    </w:p>
    <w:p w:rsidR="00D334AA" w:rsidRPr="00536952" w:rsidRDefault="00D334AA" w:rsidP="00D334AA">
      <w:pPr>
        <w:pStyle w:val="NormalWeb"/>
        <w:shd w:val="clear" w:color="auto" w:fill="FFFFFF"/>
        <w:spacing w:before="0" w:beforeAutospacing="0" w:after="0" w:afterAutospacing="0" w:line="252" w:lineRule="auto"/>
        <w:rPr>
          <w:b/>
          <w:bCs/>
          <w:color w:val="000000" w:themeColor="text1"/>
        </w:rPr>
      </w:pPr>
      <w:r w:rsidRPr="00536952">
        <w:rPr>
          <w:rStyle w:val="Strong"/>
          <w:color w:val="000000" w:themeColor="text1"/>
        </w:rPr>
        <w:t>(CC BY-NC-SA) Attribution-</w:t>
      </w:r>
      <w:proofErr w:type="spellStart"/>
      <w:r w:rsidRPr="00536952">
        <w:rPr>
          <w:rStyle w:val="Strong"/>
          <w:color w:val="000000" w:themeColor="text1"/>
        </w:rPr>
        <w:t>NonCommercialShareAlike</w:t>
      </w:r>
      <w:proofErr w:type="spellEnd"/>
      <w:r w:rsidRPr="00536952">
        <w:rPr>
          <w:b/>
          <w:bCs/>
          <w:color w:val="000000" w:themeColor="text1"/>
        </w:rPr>
        <w:t xml:space="preserve"> </w:t>
      </w:r>
      <w:r w:rsidRPr="00536952">
        <w:rPr>
          <w:color w:val="000000" w:themeColor="text1"/>
        </w:rPr>
        <w:t>- This license lets others remix, tweak, and build upon your work non-commercially, as long as they credit you and license their new creations under the identical terms.</w:t>
      </w:r>
    </w:p>
    <w:p w:rsidR="00D334AA" w:rsidRPr="00536952" w:rsidRDefault="00D334AA" w:rsidP="00D334AA">
      <w:pPr>
        <w:pStyle w:val="NormalWeb"/>
        <w:shd w:val="clear" w:color="auto" w:fill="FFFFFF"/>
        <w:spacing w:before="0" w:beforeAutospacing="0" w:after="0" w:afterAutospacing="0" w:line="252" w:lineRule="auto"/>
        <w:jc w:val="center"/>
        <w:rPr>
          <w:rStyle w:val="Strong"/>
          <w:color w:val="000000" w:themeColor="text1"/>
        </w:rPr>
      </w:pPr>
    </w:p>
    <w:p w:rsidR="00D334AA" w:rsidRPr="00536952" w:rsidRDefault="00D334AA" w:rsidP="00536952">
      <w:pPr>
        <w:pStyle w:val="NormalWeb"/>
        <w:shd w:val="clear" w:color="auto" w:fill="FFFFFF"/>
        <w:spacing w:before="0" w:beforeAutospacing="0" w:after="0" w:afterAutospacing="0" w:line="252" w:lineRule="auto"/>
        <w:rPr>
          <w:rStyle w:val="Strong"/>
          <w:color w:val="000000" w:themeColor="text1"/>
        </w:rPr>
      </w:pPr>
      <w:r w:rsidRPr="00536952">
        <w:rPr>
          <w:noProof/>
          <w:color w:val="000000" w:themeColor="text1"/>
        </w:rPr>
        <w:drawing>
          <wp:inline distT="0" distB="0" distL="0" distR="0" wp14:anchorId="7A99C6AC">
            <wp:extent cx="973455" cy="343535"/>
            <wp:effectExtent l="0" t="0" r="0" b="0"/>
            <wp:docPr id="28" name="Picture 28" descr="https://licensebuttons.net/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icensebuttons.net/l/by-nd/3.0/88x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3455" cy="343535"/>
                    </a:xfrm>
                    <a:prstGeom prst="rect">
                      <a:avLst/>
                    </a:prstGeom>
                    <a:noFill/>
                    <a:ln>
                      <a:noFill/>
                    </a:ln>
                  </pic:spPr>
                </pic:pic>
              </a:graphicData>
            </a:graphic>
          </wp:inline>
        </w:drawing>
      </w:r>
    </w:p>
    <w:p w:rsidR="00D334AA" w:rsidRPr="00536952" w:rsidRDefault="00D334AA" w:rsidP="00D334AA">
      <w:pPr>
        <w:pStyle w:val="NormalWeb"/>
        <w:shd w:val="clear" w:color="auto" w:fill="FFFFFF"/>
        <w:spacing w:before="0" w:beforeAutospacing="0" w:after="0" w:afterAutospacing="0" w:line="252" w:lineRule="auto"/>
        <w:rPr>
          <w:color w:val="000000" w:themeColor="text1"/>
        </w:rPr>
      </w:pPr>
      <w:r w:rsidRPr="00536952">
        <w:rPr>
          <w:rStyle w:val="Strong"/>
          <w:color w:val="000000" w:themeColor="text1"/>
        </w:rPr>
        <w:t>(CC BY-ND)</w:t>
      </w:r>
      <w:r w:rsidRPr="00536952">
        <w:rPr>
          <w:color w:val="000000" w:themeColor="text1"/>
        </w:rPr>
        <w:t xml:space="preserve"> </w:t>
      </w:r>
      <w:r w:rsidRPr="00536952">
        <w:rPr>
          <w:rStyle w:val="Strong"/>
          <w:color w:val="000000" w:themeColor="text1"/>
        </w:rPr>
        <w:t>Attribution-</w:t>
      </w:r>
      <w:proofErr w:type="spellStart"/>
      <w:r w:rsidRPr="00536952">
        <w:rPr>
          <w:rStyle w:val="Strong"/>
          <w:color w:val="000000" w:themeColor="text1"/>
        </w:rPr>
        <w:t>NoDerivs</w:t>
      </w:r>
      <w:proofErr w:type="spellEnd"/>
      <w:r w:rsidRPr="00536952">
        <w:rPr>
          <w:color w:val="000000" w:themeColor="text1"/>
        </w:rPr>
        <w:t xml:space="preserve"> - This license allows for redistribution, commercial and non-commercial, as long as it is passed along unchanged and in whole, with credit to you.</w:t>
      </w:r>
    </w:p>
    <w:p w:rsidR="00D334AA" w:rsidRPr="00536952" w:rsidRDefault="00D334AA" w:rsidP="00D334AA">
      <w:pPr>
        <w:spacing w:line="252" w:lineRule="auto"/>
        <w:rPr>
          <w:color w:val="000000" w:themeColor="text1"/>
        </w:rPr>
      </w:pPr>
    </w:p>
    <w:p w:rsidR="00D334AA" w:rsidRPr="00536952" w:rsidRDefault="00D334AA" w:rsidP="00D334AA">
      <w:pPr>
        <w:pStyle w:val="NormalWeb"/>
        <w:shd w:val="clear" w:color="auto" w:fill="FFFFFF"/>
        <w:spacing w:before="0" w:beforeAutospacing="0" w:after="0" w:afterAutospacing="0" w:line="252" w:lineRule="auto"/>
        <w:rPr>
          <w:rFonts w:eastAsiaTheme="minorHAnsi"/>
          <w:color w:val="000000" w:themeColor="text1"/>
        </w:rPr>
      </w:pPr>
      <w:r w:rsidRPr="00536952">
        <w:rPr>
          <w:noProof/>
          <w:color w:val="000000" w:themeColor="text1"/>
        </w:rPr>
        <w:drawing>
          <wp:inline distT="0" distB="0" distL="0" distR="0" wp14:anchorId="3ED346F1">
            <wp:extent cx="981075" cy="342900"/>
            <wp:effectExtent l="0" t="0" r="9525" b="0"/>
            <wp:docPr id="29" name="Picture 29" descr="https://licensebuttons.net/l/by-nc-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icensebuttons.net/l/by-nc-nd/3.0/88x3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1075" cy="342900"/>
                    </a:xfrm>
                    <a:prstGeom prst="rect">
                      <a:avLst/>
                    </a:prstGeom>
                    <a:noFill/>
                    <a:ln>
                      <a:noFill/>
                    </a:ln>
                  </pic:spPr>
                </pic:pic>
              </a:graphicData>
            </a:graphic>
          </wp:inline>
        </w:drawing>
      </w:r>
    </w:p>
    <w:p w:rsidR="00D334AA" w:rsidRPr="00536952" w:rsidRDefault="00D334AA" w:rsidP="00D334AA">
      <w:pPr>
        <w:pStyle w:val="NormalWeb"/>
        <w:shd w:val="clear" w:color="auto" w:fill="FFFFFF"/>
        <w:spacing w:before="0" w:beforeAutospacing="0" w:after="0" w:afterAutospacing="0" w:line="252" w:lineRule="auto"/>
        <w:rPr>
          <w:color w:val="000000" w:themeColor="text1"/>
        </w:rPr>
      </w:pPr>
      <w:r w:rsidRPr="00536952">
        <w:rPr>
          <w:rStyle w:val="Strong"/>
          <w:color w:val="000000" w:themeColor="text1"/>
        </w:rPr>
        <w:t>(CC BY-NC-ND) Attribution-</w:t>
      </w:r>
      <w:proofErr w:type="spellStart"/>
      <w:r w:rsidRPr="00536952">
        <w:rPr>
          <w:rStyle w:val="Strong"/>
          <w:color w:val="000000" w:themeColor="text1"/>
        </w:rPr>
        <w:t>NonCommercial</w:t>
      </w:r>
      <w:proofErr w:type="spellEnd"/>
      <w:r w:rsidRPr="00536952">
        <w:rPr>
          <w:rStyle w:val="Strong"/>
          <w:color w:val="000000" w:themeColor="text1"/>
        </w:rPr>
        <w:t>-</w:t>
      </w:r>
      <w:proofErr w:type="spellStart"/>
      <w:r w:rsidRPr="00536952">
        <w:rPr>
          <w:rStyle w:val="Strong"/>
          <w:color w:val="000000" w:themeColor="text1"/>
        </w:rPr>
        <w:t>NoDerivs</w:t>
      </w:r>
      <w:proofErr w:type="spellEnd"/>
      <w:r w:rsidRPr="00536952">
        <w:rPr>
          <w:b/>
          <w:bCs/>
          <w:color w:val="000000" w:themeColor="text1"/>
        </w:rPr>
        <w:t xml:space="preserve"> - </w:t>
      </w:r>
      <w:r w:rsidRPr="00536952">
        <w:rPr>
          <w:color w:val="000000" w:themeColor="text1"/>
        </w:rPr>
        <w:t>This license is the most restrictive of our six main licenses, only allowing others to download your works and share them with others as long as they credit you, but they can’t change them in any way or use them commercially.</w:t>
      </w:r>
    </w:p>
    <w:p w:rsidR="00D334AA" w:rsidRPr="00536952" w:rsidRDefault="00D334AA" w:rsidP="00D334AA">
      <w:pPr>
        <w:pStyle w:val="NormalWeb"/>
        <w:shd w:val="clear" w:color="auto" w:fill="FFFFFF"/>
        <w:spacing w:before="0" w:beforeAutospacing="0" w:after="0" w:afterAutospacing="0" w:line="252" w:lineRule="auto"/>
        <w:rPr>
          <w:b/>
          <w:bCs/>
          <w:color w:val="464646"/>
        </w:rPr>
      </w:pPr>
    </w:p>
    <w:p w:rsidR="00D334AA" w:rsidRDefault="004D5848" w:rsidP="00D334AA">
      <w:pPr>
        <w:spacing w:line="252" w:lineRule="auto"/>
        <w:jc w:val="center"/>
        <w:rPr>
          <w:rStyle w:val="Hyperlink"/>
          <w:rFonts w:eastAsia="Times New Roman"/>
          <w:b/>
        </w:rPr>
      </w:pPr>
      <w:hyperlink r:id="rId19" w:history="1">
        <w:r w:rsidR="00D334AA" w:rsidRPr="00A279D5">
          <w:rPr>
            <w:rStyle w:val="Hyperlink"/>
            <w:rFonts w:eastAsia="Times New Roman"/>
            <w:b/>
          </w:rPr>
          <w:t>https://creativecommons.org/licenses/</w:t>
        </w:r>
      </w:hyperlink>
    </w:p>
    <w:p w:rsidR="00A279D5" w:rsidRPr="00786751" w:rsidRDefault="00A279D5" w:rsidP="00D334AA">
      <w:pPr>
        <w:spacing w:line="252" w:lineRule="auto"/>
        <w:jc w:val="center"/>
        <w:rPr>
          <w:rStyle w:val="Hyperlink"/>
          <w:rFonts w:eastAsia="Times New Roman"/>
          <w:b/>
          <w:sz w:val="16"/>
          <w:szCs w:val="16"/>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005"/>
      </w:tblGrid>
      <w:tr w:rsidR="00A279D5" w:rsidTr="00A279D5">
        <w:tc>
          <w:tcPr>
            <w:tcW w:w="1345" w:type="dxa"/>
          </w:tcPr>
          <w:p w:rsidR="00A279D5" w:rsidRDefault="00A279D5" w:rsidP="00D334AA">
            <w:pPr>
              <w:spacing w:line="252" w:lineRule="auto"/>
              <w:jc w:val="center"/>
            </w:pPr>
            <w:r>
              <w:rPr>
                <w:noProof/>
              </w:rPr>
              <w:drawing>
                <wp:inline distT="0" distB="0" distL="0" distR="0" wp14:anchorId="2E6653F8" wp14:editId="26B02371">
                  <wp:extent cx="680720" cy="238125"/>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BY.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0720" cy="238125"/>
                          </a:xfrm>
                          <a:prstGeom prst="rect">
                            <a:avLst/>
                          </a:prstGeom>
                        </pic:spPr>
                      </pic:pic>
                    </a:graphicData>
                  </a:graphic>
                </wp:inline>
              </w:drawing>
            </w:r>
          </w:p>
        </w:tc>
        <w:tc>
          <w:tcPr>
            <w:tcW w:w="8005" w:type="dxa"/>
          </w:tcPr>
          <w:p w:rsidR="00A279D5" w:rsidRDefault="00A279D5" w:rsidP="00A279D5">
            <w:pPr>
              <w:ind w:left="78"/>
            </w:pPr>
            <w:r>
              <w:t xml:space="preserve">© </w:t>
            </w:r>
            <w:r w:rsidRPr="00A279D5">
              <w:t>20</w:t>
            </w:r>
            <w:r>
              <w:t>19</w:t>
            </w:r>
            <w:r w:rsidRPr="00A279D5">
              <w:t xml:space="preserve"> Arthur J. Boston. This </w:t>
            </w:r>
            <w:r>
              <w:t>worksheet</w:t>
            </w:r>
            <w:r w:rsidRPr="00A279D5">
              <w:t xml:space="preserve"> is distributed under a </w:t>
            </w:r>
            <w:hyperlink r:id="rId21" w:history="1">
              <w:r w:rsidRPr="00A279D5">
                <w:rPr>
                  <w:rStyle w:val="Hyperlink"/>
                </w:rPr>
                <w:t>Creative Commons Attribution 4.0 International</w:t>
              </w:r>
            </w:hyperlink>
            <w:r w:rsidRPr="00A279D5">
              <w:t xml:space="preserve"> (CC BY 4.0) license.</w:t>
            </w:r>
          </w:p>
        </w:tc>
      </w:tr>
    </w:tbl>
    <w:p w:rsidR="00A279D5" w:rsidRPr="00536952" w:rsidRDefault="00A279D5" w:rsidP="00786751">
      <w:pPr>
        <w:spacing w:line="252" w:lineRule="auto"/>
      </w:pPr>
    </w:p>
    <w:sectPr w:rsidR="00A279D5" w:rsidRPr="00536952" w:rsidSect="00A279D5">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848" w:rsidRDefault="004D5848" w:rsidP="007A5E43">
      <w:r>
        <w:separator/>
      </w:r>
    </w:p>
  </w:endnote>
  <w:endnote w:type="continuationSeparator" w:id="0">
    <w:p w:rsidR="004D5848" w:rsidRDefault="004D5848" w:rsidP="007A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E43" w:rsidRDefault="007A5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915399"/>
      <w:docPartObj>
        <w:docPartGallery w:val="Page Numbers (Bottom of Page)"/>
        <w:docPartUnique/>
      </w:docPartObj>
    </w:sdtPr>
    <w:sdtEndPr>
      <w:rPr>
        <w:rFonts w:ascii="Times New Roman" w:hAnsi="Times New Roman" w:cs="Times New Roman"/>
        <w:noProof/>
      </w:rPr>
    </w:sdtEndPr>
    <w:sdtContent>
      <w:p w:rsidR="007A5E43" w:rsidRPr="007A5E43" w:rsidRDefault="007A5E43">
        <w:pPr>
          <w:pStyle w:val="Footer"/>
          <w:jc w:val="right"/>
          <w:rPr>
            <w:rFonts w:ascii="Times New Roman" w:hAnsi="Times New Roman" w:cs="Times New Roman"/>
          </w:rPr>
        </w:pPr>
        <w:r w:rsidRPr="007A5E43">
          <w:rPr>
            <w:rFonts w:ascii="Times New Roman" w:hAnsi="Times New Roman" w:cs="Times New Roman"/>
          </w:rPr>
          <w:fldChar w:fldCharType="begin"/>
        </w:r>
        <w:r w:rsidRPr="007A5E43">
          <w:rPr>
            <w:rFonts w:ascii="Times New Roman" w:hAnsi="Times New Roman" w:cs="Times New Roman"/>
          </w:rPr>
          <w:instrText xml:space="preserve"> PAGE   \* MERGEFORMAT </w:instrText>
        </w:r>
        <w:r w:rsidRPr="007A5E43">
          <w:rPr>
            <w:rFonts w:ascii="Times New Roman" w:hAnsi="Times New Roman" w:cs="Times New Roman"/>
          </w:rPr>
          <w:fldChar w:fldCharType="separate"/>
        </w:r>
        <w:r w:rsidRPr="007A5E43">
          <w:rPr>
            <w:rFonts w:ascii="Times New Roman" w:hAnsi="Times New Roman" w:cs="Times New Roman"/>
            <w:noProof/>
          </w:rPr>
          <w:t>2</w:t>
        </w:r>
        <w:r w:rsidRPr="007A5E43">
          <w:rPr>
            <w:rFonts w:ascii="Times New Roman" w:hAnsi="Times New Roman" w:cs="Times New Roman"/>
            <w:noProof/>
          </w:rPr>
          <w:fldChar w:fldCharType="end"/>
        </w:r>
      </w:p>
    </w:sdtContent>
  </w:sdt>
  <w:p w:rsidR="007A5E43" w:rsidRDefault="007A5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E43" w:rsidRDefault="007A5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848" w:rsidRDefault="004D5848" w:rsidP="007A5E43">
      <w:r>
        <w:separator/>
      </w:r>
    </w:p>
  </w:footnote>
  <w:footnote w:type="continuationSeparator" w:id="0">
    <w:p w:rsidR="004D5848" w:rsidRDefault="004D5848" w:rsidP="007A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E43" w:rsidRDefault="007A5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E43" w:rsidRDefault="007A5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E43" w:rsidRDefault="007A5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70B89"/>
    <w:multiLevelType w:val="hybridMultilevel"/>
    <w:tmpl w:val="847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44044"/>
    <w:multiLevelType w:val="hybridMultilevel"/>
    <w:tmpl w:val="70EA4C10"/>
    <w:lvl w:ilvl="0" w:tplc="00CCC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B5"/>
    <w:rsid w:val="000A4874"/>
    <w:rsid w:val="004369C1"/>
    <w:rsid w:val="004D5848"/>
    <w:rsid w:val="004E4D03"/>
    <w:rsid w:val="00536952"/>
    <w:rsid w:val="006A6ABA"/>
    <w:rsid w:val="00786751"/>
    <w:rsid w:val="007A5E43"/>
    <w:rsid w:val="00A279D5"/>
    <w:rsid w:val="00A56400"/>
    <w:rsid w:val="00BA3EFF"/>
    <w:rsid w:val="00C371F3"/>
    <w:rsid w:val="00D334AA"/>
    <w:rsid w:val="00D7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7E48"/>
  <w15:chartTrackingRefBased/>
  <w15:docId w15:val="{B72A63F9-2407-497A-81B0-CFBBE4F5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2B5"/>
    <w:pPr>
      <w:ind w:left="720"/>
      <w:contextualSpacing/>
    </w:pPr>
  </w:style>
  <w:style w:type="paragraph" w:styleId="NormalWeb">
    <w:name w:val="Normal (Web)"/>
    <w:basedOn w:val="Normal"/>
    <w:uiPriority w:val="99"/>
    <w:unhideWhenUsed/>
    <w:rsid w:val="00D334AA"/>
    <w:pPr>
      <w:spacing w:before="100" w:beforeAutospacing="1" w:after="100" w:afterAutospacing="1"/>
    </w:pPr>
    <w:rPr>
      <w:rFonts w:eastAsia="Times New Roman"/>
    </w:rPr>
  </w:style>
  <w:style w:type="character" w:styleId="Strong">
    <w:name w:val="Strong"/>
    <w:basedOn w:val="DefaultParagraphFont"/>
    <w:uiPriority w:val="22"/>
    <w:qFormat/>
    <w:rsid w:val="00D334AA"/>
    <w:rPr>
      <w:b/>
      <w:bCs/>
    </w:rPr>
  </w:style>
  <w:style w:type="character" w:styleId="Hyperlink">
    <w:name w:val="Hyperlink"/>
    <w:basedOn w:val="DefaultParagraphFont"/>
    <w:uiPriority w:val="99"/>
    <w:unhideWhenUsed/>
    <w:rsid w:val="00D334AA"/>
    <w:rPr>
      <w:color w:val="0563C1" w:themeColor="hyperlink"/>
      <w:u w:val="single"/>
    </w:rPr>
  </w:style>
  <w:style w:type="character" w:styleId="UnresolvedMention">
    <w:name w:val="Unresolved Mention"/>
    <w:basedOn w:val="DefaultParagraphFont"/>
    <w:uiPriority w:val="99"/>
    <w:semiHidden/>
    <w:unhideWhenUsed/>
    <w:rsid w:val="00D334AA"/>
    <w:rPr>
      <w:color w:val="605E5C"/>
      <w:shd w:val="clear" w:color="auto" w:fill="E1DFDD"/>
    </w:rPr>
  </w:style>
  <w:style w:type="paragraph" w:styleId="Footer">
    <w:name w:val="footer"/>
    <w:basedOn w:val="Normal"/>
    <w:link w:val="FooterChar"/>
    <w:uiPriority w:val="99"/>
    <w:unhideWhenUsed/>
    <w:rsid w:val="00536952"/>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536952"/>
    <w:rPr>
      <w:rFonts w:asciiTheme="minorHAnsi" w:hAnsiTheme="minorHAnsi" w:cstheme="minorBidi"/>
      <w:sz w:val="22"/>
      <w:szCs w:val="22"/>
    </w:rPr>
  </w:style>
  <w:style w:type="paragraph" w:styleId="Header">
    <w:name w:val="header"/>
    <w:basedOn w:val="Normal"/>
    <w:link w:val="HeaderChar"/>
    <w:uiPriority w:val="99"/>
    <w:unhideWhenUsed/>
    <w:rsid w:val="007A5E43"/>
    <w:pPr>
      <w:tabs>
        <w:tab w:val="center" w:pos="4680"/>
        <w:tab w:val="right" w:pos="9360"/>
      </w:tabs>
    </w:pPr>
  </w:style>
  <w:style w:type="character" w:customStyle="1" w:styleId="HeaderChar">
    <w:name w:val="Header Char"/>
    <w:basedOn w:val="DefaultParagraphFont"/>
    <w:link w:val="Header"/>
    <w:uiPriority w:val="99"/>
    <w:rsid w:val="007A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creativecommons.org/licens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596</Words>
  <Characters>3155</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Carla Ms.</dc:creator>
  <cp:keywords/>
  <dc:description/>
  <cp:lastModifiedBy>Myers, Carla Ms.</cp:lastModifiedBy>
  <cp:revision>4</cp:revision>
  <dcterms:created xsi:type="dcterms:W3CDTF">2020-01-15T19:20:00Z</dcterms:created>
  <dcterms:modified xsi:type="dcterms:W3CDTF">2020-01-15T21:05:00Z</dcterms:modified>
</cp:coreProperties>
</file>