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4" w:name="supplementary-material"/>
    <w:p>
      <w:pPr>
        <w:pStyle w:val="Heading1"/>
        <w:spacing w:line="480" w:lineRule="auto"/>
      </w:pPr>
      <w:r>
        <w:rPr>
          <w:rFonts w:ascii="Times New Roman" w:hAnsi="Times New Roman" w:eastAsia="Times New Roman" w:cs="Times New Roman"/>
          <w:b/>
          <w:color w:val="000000"/>
          <w:sz w:val="28"/>
        </w:rPr>
        <w:t xml:space="preserve">Supplementary Material</w:t>
      </w:r>
    </w:p>
    <w:p>
      <w:pPr>
        <w:pStyle w:val="FirstParagraph"/>
        <w:spacing w:line="480" w:lineRule="auto"/>
      </w:pPr>
      <w:r>
        <w:rPr>
          <w:rFonts w:ascii="Times New Roman" w:hAnsi="Times New Roman" w:eastAsia="Times New Roman" w:cs="Times New Roman"/>
          <w:b/>
          <w:bCs/>
          <w:sz w:val="24"/>
        </w:rPr>
        <w:t xml:space="preserve">Teaching Workload Inequality and Temporal Patterns in Residency Training: A Gini Coefficient Analysis</w:t>
      </w:r>
    </w:p>
    <w:p>
      <w:pPr>
        <w:pStyle w:val="BodyText"/>
        <w:spacing w:line="480" w:lineRule="auto"/>
      </w:pPr>
      <w:r>
        <w:rPr>
          <w:rFonts w:ascii="Times New Roman" w:hAnsi="Times New Roman" w:eastAsia="Times New Roman" w:cs="Times New Roman"/>
          <w:sz w:val="24"/>
        </w:rPr>
        <w:t xml:space="preserve">Zhen Zhang, Chujie Chen</w:t>
      </w:r>
    </w:p>
    <w:bookmarkStart w:id="9" w:name="X43f7d9f31e3bc5fc8fe9e4151b685e8efcd8281"/>
    <w:p>
      <w:pPr>
        <w:pStyle w:val="Heading2"/>
        <w:spacing w:line="480" w:lineRule="auto"/>
      </w:pPr>
      <w:r>
        <w:rPr>
          <w:rFonts w:ascii="Times New Roman" w:hAnsi="Times New Roman" w:eastAsia="Times New Roman" w:cs="Times New Roman"/>
          <w:b/>
          <w:color w:val="000000"/>
          <w:sz w:val="26"/>
        </w:rPr>
        <w:t xml:space="preserve">Supplementary Figure S1. Flow Diagram of Teaching Activity Record Selection</w:t>
      </w:r>
    </w:p>
    <w:p>
      <w:pPr>
        <w:pStyle w:val="FirstParagraph"/>
        <w:spacing w:line="480" w:lineRule="auto"/>
      </w:pPr>
      <w:r>
        <w:rPr>
          <w:rFonts w:ascii="Times New Roman" w:hAnsi="Times New Roman" w:eastAsia="Times New Roman" w:cs="Times New Roman"/>
          <w:sz w:val="24"/>
        </w:rPr>
        <w:t xml:space="preserve">Flow diagram illustrating the selection of teaching activity records from the CCMTV platform (January 2022–December 2025). Of 3,619 records initially extracted, 471 were excluded (228 incomplete, 230 outside study period, 10 non-clinical, 3 from a department with &lt;10 activities). The final sample comprised 3,148 records from 27 departments, yielding 3,177 speaker-activity pairs from 356 unique faculty.</w:t>
      </w:r>
    </w:p>
    <w:bookmarkEnd w:id="9"/>
    <w:bookmarkStart w:id="10" w:name="Xa526c99b6468579fd914831da5c0f9dcc6ce466"/>
    <w:p>
      <w:pPr>
        <w:pStyle w:val="Heading2"/>
        <w:spacing w:line="480" w:lineRule="auto"/>
      </w:pPr>
      <w:r>
        <w:rPr>
          <w:rFonts w:ascii="Times New Roman" w:hAnsi="Times New Roman" w:eastAsia="Times New Roman" w:cs="Times New Roman"/>
          <w:b/>
          <w:color w:val="000000"/>
          <w:sz w:val="26"/>
        </w:rPr>
        <w:t xml:space="preserve">Supplementary Figure S2. Department-Level Temporal Heatmap of Teaching Activities</w:t>
      </w:r>
    </w:p>
    <w:p>
      <w:pPr>
        <w:pStyle w:val="FirstParagraph"/>
        <w:spacing w:line="480" w:lineRule="auto"/>
      </w:pPr>
      <w:r>
        <w:rPr>
          <w:rFonts w:ascii="Times New Roman" w:hAnsi="Times New Roman" w:eastAsia="Times New Roman" w:cs="Times New Roman"/>
          <w:sz w:val="24"/>
        </w:rPr>
        <w:t xml:space="preserve">Heatmap showing teaching activity distribution across 27 departments and 24 hours, ordered by evening teaching proportion. The heatmap illustrates marked heterogeneity: Emergency Medicine concentrates teaching in evening hours, Anesthesiology and Radiology almost exclusively in the afternoon, and Neurology and Pulmonary and Critical Care Medicine in the morning.</w:t>
      </w:r>
    </w:p>
    <w:bookmarkEnd w:id="10"/>
    <w:bookmarkStart w:id="11" w:name="Xd680ccbc4f06efccf957845bcbd2635b05c3f17"/>
    <w:p>
      <w:pPr>
        <w:pStyle w:val="Heading2"/>
        <w:spacing w:line="480" w:lineRule="auto"/>
      </w:pPr>
      <w:r>
        <w:rPr>
          <w:rFonts w:ascii="Times New Roman" w:hAnsi="Times New Roman" w:eastAsia="Times New Roman" w:cs="Times New Roman"/>
          <w:b/>
          <w:color w:val="000000"/>
          <w:sz w:val="26"/>
        </w:rPr>
        <w:t xml:space="preserve">Supplementary Table S1. Sensitivity Analyses for Hospital-Wide Gini Coefficient</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Analysis</w:t>
            </w:r>
          </w:p>
        </w:tc>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Gini</w:t>
            </w:r>
          </w:p>
        </w:tc>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95% CI</w:t>
            </w:r>
          </w:p>
        </w:tc>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N speakers</w:t>
            </w:r>
          </w:p>
        </w:tc>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Notes</w:t>
            </w:r>
          </w:p>
        </w:tc>
      </w:tr>
      <w:tr>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Primary (speakers_name)</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0.554</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0.514–0.590</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356</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Main analysis</w:t>
            </w:r>
          </w:p>
        </w:tc>
      </w:tr>
      <w:tr>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Organizer (realname)</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0.726</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0.672–0.763</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168</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Data-entry organizer field</w:t>
            </w:r>
          </w:p>
        </w:tc>
      </w:tr>
      <w:tr>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Fractional counting</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0.557</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0.517–0.592</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356</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1/n weight for multi-speaker records</w:t>
            </w:r>
          </w:p>
        </w:tc>
      </w:tr>
      <w:tr>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Exclude depts &lt;20 activities</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0.546</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0.506–0.581</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337</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3 departments excluded</w:t>
            </w:r>
          </w:p>
        </w:tc>
      </w:tr>
      <w:tr>
        <w:tc>
          <w:tcPr>
            <w:tcBorders>
              <w:top w:val="none" w:sz="0" w:space="0" w:color="auto"/>
              <w:bottom w:val="single" w:sz="12"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Duration-weighted (method-average)</w:t>
            </w:r>
          </w:p>
        </w:tc>
        <w:tc>
          <w:tcPr>
            <w:tcBorders>
              <w:top w:val="none" w:sz="0" w:space="0" w:color="auto"/>
              <w:bottom w:val="single" w:sz="12"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0.559</w:t>
            </w:r>
          </w:p>
        </w:tc>
        <w:tc>
          <w:tcPr>
            <w:tcBorders>
              <w:top w:val="none" w:sz="0" w:space="0" w:color="auto"/>
              <w:bottom w:val="single" w:sz="12"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0.516–0.594</w:t>
            </w:r>
          </w:p>
        </w:tc>
        <w:tc>
          <w:tcPr>
            <w:tcBorders>
              <w:top w:val="none" w:sz="0" w:space="0" w:color="auto"/>
              <w:bottom w:val="single" w:sz="12"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356</w:t>
            </w:r>
          </w:p>
        </w:tc>
        <w:tc>
          <w:tcPr>
            <w:tcBorders>
              <w:top w:val="none" w:sz="0" w:space="0" w:color="auto"/>
              <w:bottom w:val="single" w:sz="12"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Weighted by method mean duration</w:t>
            </w:r>
          </w:p>
        </w:tc>
      </w:tr>
    </w:tbl>
    <w:p>
      <w:pPr>
        <w:pStyle w:val="BodyText"/>
        <w:spacing w:line="480" w:lineRule="auto"/>
      </w:pPr>
      <w:r>
        <w:rPr>
          <w:rFonts w:ascii="Times New Roman" w:hAnsi="Times New Roman" w:eastAsia="Times New Roman" w:cs="Times New Roman"/>
          <w:sz w:val="24"/>
        </w:rPr>
        <w:t xml:space="preserve">Note: Across speaker-based sensitivity analyses (fractional counting and department exclusion), the Gini remained in the range 0.546–0.557.</w:t>
      </w:r>
    </w:p>
    <w:bookmarkEnd w:id="11"/>
    <w:bookmarkStart w:id="12" w:name="X8eb5edea4eab64b33fd6a70f3d8fdbbe24b911f"/>
    <w:p>
      <w:pPr>
        <w:pStyle w:val="Heading2"/>
        <w:spacing w:line="480" w:lineRule="auto"/>
      </w:pPr>
      <w:r>
        <w:rPr>
          <w:rFonts w:ascii="Times New Roman" w:hAnsi="Times New Roman" w:eastAsia="Times New Roman" w:cs="Times New Roman"/>
          <w:b/>
          <w:color w:val="000000"/>
          <w:sz w:val="26"/>
        </w:rPr>
        <w:t xml:space="preserve">Supplementary Table S2. Temporal Characteristics of High-Volume Versus Low-Volume Teachers</w:t>
      </w:r>
    </w:p>
    <w:tbl>
      <w:tblPr>
        <w:tblStyle w:val="Table"/>
        <w:tblW w:type="auto" w:w="0"/>
        <w:tblLook w:firstRow="1" w:lastRow="0" w:firstColumn="0" w:lastColumn="0" w:noHBand="0" w:noVBand="0" w:val="0020"/>
      </w:tblPr>
      <w:tblGrid>
        <w:gridCol w:w="2640"/>
        <w:gridCol w:w="2640"/>
        <w:gridCol w:w="2640"/>
      </w:tblGrid>
      <w:tr>
        <w:trPr>
          <w:tblHeader w:val="on"/>
        </w:trPr>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Measure</w:t>
            </w:r>
          </w:p>
        </w:tc>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Top 20% (≥17 activities)</w:t>
            </w:r>
          </w:p>
        </w:tc>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Bottom 50% (≤8 activities)</w:t>
            </w:r>
          </w:p>
        </w:tc>
      </w:tr>
      <w:tr>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N speakers</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51</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125</w:t>
            </w:r>
          </w:p>
        </w:tc>
      </w:tr>
      <w:tr>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N teaching records</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1,534</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625</w:t>
            </w:r>
          </w:p>
        </w:tc>
      </w:tr>
      <w:tr>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Morning %</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45.6</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54.7</w:t>
            </w:r>
          </w:p>
        </w:tc>
      </w:tr>
      <w:tr>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Afternoon %</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46.3</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41.8</w:t>
            </w:r>
          </w:p>
        </w:tc>
      </w:tr>
      <w:tr>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Evening %</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7.9</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3.5</w:t>
            </w:r>
          </w:p>
        </w:tc>
      </w:tr>
      <w:tr>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Weekend %</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2.5</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1.6</w:t>
            </w:r>
          </w:p>
        </w:tc>
      </w:tr>
      <w:tr>
        <w:tc>
          <w:tcPr>
            <w:tcBorders>
              <w:top w:val="none" w:sz="0" w:space="0" w:color="auto"/>
              <w:bottom w:val="single" w:sz="12"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Mean hour comparison</w:t>
            </w:r>
          </w:p>
        </w:tc>
        <w:tc>
          <w:tcPr>
            <w:tcBorders>
              <w:top w:val="none" w:sz="0" w:space="0" w:color="auto"/>
              <w:bottom w:val="single" w:sz="12"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Mann-Whitney U = 3,562, p = 0.223</w:t>
            </w:r>
          </w:p>
        </w:tc>
        <w:tc>
          <w:tcPr>
            <w:tcBorders>
              <w:top w:val="none" w:sz="0" w:space="0" w:color="auto"/>
              <w:bottom w:val="single" w:sz="12" w:space="0" w:color="000000"/>
              <w:left w:val="none" w:sz="0" w:space="0" w:color="auto"/>
              <w:right w:val="none" w:sz="0" w:space="0" w:color="auto"/>
            </w:tcBorders>
          </w:tcPr>
          <w:p>
            <w:pPr>
              <w:pStyle w:val="Compact"/>
              <w:spacing w:line="240" w:lineRule="auto"/>
            </w:pPr>
          </w:p>
        </w:tc>
      </w:tr>
    </w:tbl>
    <w:p>
      <w:pPr>
        <w:pStyle w:val="BodyText"/>
        <w:spacing w:line="480" w:lineRule="auto"/>
      </w:pPr>
      <w:r>
        <w:rPr>
          <w:rFonts w:ascii="Times New Roman" w:hAnsi="Times New Roman" w:eastAsia="Times New Roman" w:cs="Times New Roman"/>
          <w:sz w:val="24"/>
        </w:rPr>
        <w:t xml:space="preserve">Note: Top 20% and bottom 50% defined by individual teaching volume. Mean hour comparison tests whether the average teaching hour differs between groups.</w:t>
      </w:r>
    </w:p>
    <w:bookmarkEnd w:id="12"/>
    <w:bookmarkStart w:id="13" w:name="Xc8164aab4338cd980cee25d23b14cac9ca30ef3"/>
    <w:p>
      <w:pPr>
        <w:pStyle w:val="Heading2"/>
        <w:spacing w:line="480" w:lineRule="auto"/>
      </w:pPr>
      <w:r>
        <w:rPr>
          <w:rFonts w:ascii="Times New Roman" w:hAnsi="Times New Roman" w:eastAsia="Times New Roman" w:cs="Times New Roman"/>
          <w:b/>
          <w:color w:val="000000"/>
          <w:sz w:val="26"/>
        </w:rPr>
        <w:t xml:space="preserve">Supplementary Table S3. Sensitivity Analyses: Small-Sample Gini Correction and Evening Threshold</w:t>
      </w:r>
    </w:p>
    <w:p>
      <w:pPr>
        <w:pStyle w:val="FirstParagraph"/>
        <w:spacing w:line="480" w:lineRule="auto"/>
      </w:pPr>
      <w:r>
        <w:rPr>
          <w:rFonts w:ascii="Times New Roman" w:hAnsi="Times New Roman" w:eastAsia="Times New Roman" w:cs="Times New Roman"/>
          <w:b/>
          <w:bCs/>
          <w:sz w:val="24"/>
        </w:rPr>
        <w:t xml:space="preserve">Panel A: Small-sample Gini correction G* = G x N/(N-1)</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Level</w:t>
            </w:r>
          </w:p>
        </w:tc>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G</w:t>
            </w:r>
          </w:p>
        </w:tc>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G*</w:t>
            </w:r>
          </w:p>
        </w:tc>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N</w:t>
            </w:r>
          </w:p>
        </w:tc>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Difference</w:t>
            </w:r>
          </w:p>
        </w:tc>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 Change</w:t>
            </w:r>
          </w:p>
        </w:tc>
      </w:tr>
      <w:tr>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Hospital-wide</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0.554</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0.556</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356</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+0.002</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+0.3%</w:t>
            </w:r>
          </w:p>
        </w:tc>
      </w:tr>
      <w:tr>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Dept. range (N ≥ 5)</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0.133–0.702</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0.148–0.724</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w:t>
            </w:r>
          </w:p>
        </w:tc>
      </w:tr>
      <w:tr>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Volume–G correlation (N ≥ 5)</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rho = 0.589, p = 0.004</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rho = 0.522, p = 0.013</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22</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w:t>
            </w:r>
          </w:p>
        </w:tc>
      </w:tr>
      <w:tr>
        <w:tc>
          <w:tcPr>
            <w:tcBorders>
              <w:top w:val="none" w:sz="0" w:space="0" w:color="auto"/>
              <w:bottom w:val="single" w:sz="12"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G vs G* rank correlation</w:t>
            </w:r>
          </w:p>
        </w:tc>
        <w:tc>
          <w:tcPr>
            <w:tcBorders>
              <w:top w:val="none" w:sz="0" w:space="0" w:color="auto"/>
              <w:bottom w:val="single" w:sz="12"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rho = 0.953 (n = 26)</w:t>
            </w:r>
          </w:p>
        </w:tc>
        <w:tc>
          <w:tcPr>
            <w:tcBorders>
              <w:top w:val="none" w:sz="0" w:space="0" w:color="auto"/>
              <w:bottom w:val="single" w:sz="12"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w:t>
            </w:r>
          </w:p>
        </w:tc>
        <w:tc>
          <w:tcPr>
            <w:tcBorders>
              <w:top w:val="none" w:sz="0" w:space="0" w:color="auto"/>
              <w:bottom w:val="single" w:sz="12"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w:t>
            </w:r>
          </w:p>
        </w:tc>
        <w:tc>
          <w:tcPr>
            <w:tcBorders>
              <w:top w:val="none" w:sz="0" w:space="0" w:color="auto"/>
              <w:bottom w:val="single" w:sz="12"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w:t>
            </w:r>
          </w:p>
        </w:tc>
        <w:tc>
          <w:tcPr>
            <w:tcBorders>
              <w:top w:val="none" w:sz="0" w:space="0" w:color="auto"/>
              <w:bottom w:val="single" w:sz="12"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w:t>
            </w:r>
          </w:p>
        </w:tc>
      </w:tr>
    </w:tbl>
    <w:p>
      <w:pPr>
        <w:pStyle w:val="BodyText"/>
        <w:spacing w:line="480" w:lineRule="auto"/>
      </w:pPr>
      <w:r>
        <w:rPr>
          <w:rFonts w:ascii="Times New Roman" w:hAnsi="Times New Roman" w:eastAsia="Times New Roman" w:cs="Times New Roman"/>
          <w:sz w:val="24"/>
        </w:rPr>
        <w:t xml:space="preserve">Note: The correction is largest for departments with small faculty numbers (e.g., Reproductive Medicine: G = 0.558 to G* = 0.744 at N = 4). For departments with N ≥ 10, corrections are uniformly &lt; 0.03.</w:t>
      </w:r>
    </w:p>
    <w:p>
      <w:pPr>
        <w:pStyle w:val="BodyText"/>
        <w:spacing w:line="480" w:lineRule="auto"/>
      </w:pPr>
      <w:r>
        <w:rPr>
          <w:rFonts w:ascii="Times New Roman" w:hAnsi="Times New Roman" w:eastAsia="Times New Roman" w:cs="Times New Roman"/>
          <w:b/>
          <w:bCs/>
          <w:sz w:val="24"/>
        </w:rPr>
        <w:t xml:space="preserve">Panel B: Evening teaching threshold sensitivity (n = 26 departments, excluding Emergency Medicine)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Threshold</w:t>
            </w:r>
          </w:p>
        </w:tc>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Evening % range</w:t>
            </w:r>
          </w:p>
        </w:tc>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Evening % mean</w:t>
            </w:r>
          </w:p>
        </w:tc>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rho vs Gini</w:t>
            </w:r>
          </w:p>
        </w:tc>
        <w:tc>
          <w:tcPr>
            <w:tcBorders>
              <w:top w:val="single" w:sz="12" w:space="0" w:color="000000"/>
              <w:bottom w:val="single" w:sz="6"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p-value</w:t>
            </w:r>
          </w:p>
        </w:tc>
      </w:tr>
      <w:tr>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 17:00</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0.0–34.7%</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9.1%</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0.521</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0.006</w:t>
            </w:r>
          </w:p>
        </w:tc>
      </w:tr>
      <w:tr>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 18:00 (primary)</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0.0–17.0%</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2.8%</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0.531</w:t>
            </w:r>
          </w:p>
        </w:tc>
        <w:tc>
          <w:tcPr>
            <w:tcBorders>
              <w:top w:val="none" w:sz="0" w:space="0" w:color="auto"/>
              <w:bottom w:val="none" w:sz="0" w:space="0" w:color="auto"/>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0.005</w:t>
            </w:r>
          </w:p>
        </w:tc>
      </w:tr>
      <w:tr>
        <w:tc>
          <w:tcPr>
            <w:tcBorders>
              <w:top w:val="none" w:sz="0" w:space="0" w:color="auto"/>
              <w:bottom w:val="single" w:sz="12"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 19:00</w:t>
            </w:r>
          </w:p>
        </w:tc>
        <w:tc>
          <w:tcPr>
            <w:tcBorders>
              <w:top w:val="none" w:sz="0" w:space="0" w:color="auto"/>
              <w:bottom w:val="single" w:sz="12"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0.0–10.3%</w:t>
            </w:r>
          </w:p>
        </w:tc>
        <w:tc>
          <w:tcPr>
            <w:tcBorders>
              <w:top w:val="none" w:sz="0" w:space="0" w:color="auto"/>
              <w:bottom w:val="single" w:sz="12"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1.3%</w:t>
            </w:r>
          </w:p>
        </w:tc>
        <w:tc>
          <w:tcPr>
            <w:tcBorders>
              <w:top w:val="none" w:sz="0" w:space="0" w:color="auto"/>
              <w:bottom w:val="single" w:sz="12"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0.239</w:t>
            </w:r>
          </w:p>
        </w:tc>
        <w:tc>
          <w:tcPr>
            <w:tcBorders>
              <w:top w:val="none" w:sz="0" w:space="0" w:color="auto"/>
              <w:bottom w:val="single" w:sz="12" w:space="0" w:color="000000"/>
              <w:left w:val="none" w:sz="0" w:space="0" w:color="auto"/>
              <w:right w:val="none" w:sz="0" w:space="0" w:color="auto"/>
            </w:tcBorders>
          </w:tcPr>
          <w:p>
            <w:pPr>
              <w:pStyle w:val="Compact"/>
              <w:spacing w:line="240" w:lineRule="auto"/>
            </w:pPr>
            <w:r>
              <w:rPr>
                <w:rFonts w:ascii="Times New Roman" w:hAnsi="Times New Roman" w:eastAsia="Times New Roman" w:cs="Times New Roman"/>
                <w:sz w:val="20"/>
              </w:rPr>
              <w:t xml:space="preserve">0.239</w:t>
            </w:r>
          </w:p>
        </w:tc>
      </w:tr>
    </w:tbl>
    <w:p>
      <w:pPr>
        <w:pStyle w:val="BodyText"/>
        <w:spacing w:line="480" w:lineRule="auto"/>
      </w:pPr>
      <w:r>
        <w:rPr>
          <w:rFonts w:ascii="Times New Roman" w:hAnsi="Times New Roman" w:eastAsia="Times New Roman" w:cs="Times New Roman"/>
          <w:sz w:val="24"/>
        </w:rPr>
        <w:t xml:space="preserve">Note: The primary analysis used 18:00 as the evening threshold. The association is significant and directionally consistent at both 17:00 and 18:00 thresholds. The 19:00 threshold captures only 2.6% of total activities, insufficient for a meaningful department-level correlation.</w:t>
      </w:r>
    </w:p>
    <w:bookmarkEnd w:id="13"/>
    <w:bookmarkEnd w:id="14"/>
    <w:sectPr>
      <w:footerReference w:type="default" r:id="rId9"/>
      <w:footnotePr>
        <w:numRestart w:val="eachSect"/>
      </w:footnotePr>
      <w:pgMar w:top="1440" w:bottom="1440" w:left="1440" w:right="14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webSettings" Target="webSettings.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footnotes" Target="footnotes.xml"/><Relationship Id="rId1"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2026-04-10T13:47:46Z</dcterms:created>
  <dcterms:modified xsi:type="dcterms:W3CDTF">2026-04-10T13:47:46Z</dcterms:modified>
</cp:coreProperties>
</file>

<file path=docProps/custom.xml><?xml version="1.0" encoding="utf-8"?>
<Properties xmlns="http://schemas.openxmlformats.org/officeDocument/2006/custom-properties" xmlns:vt="http://schemas.openxmlformats.org/officeDocument/2006/docPropsVTypes"/>
</file>